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1AFDE" w14:textId="207D3EDB" w:rsidR="005A6411" w:rsidRPr="00E61FBF" w:rsidRDefault="005A6411" w:rsidP="005A6411">
      <w:pPr>
        <w:spacing w:before="240"/>
        <w:rPr>
          <w:i/>
        </w:rPr>
      </w:pPr>
      <w:r>
        <w:rPr>
          <w:b/>
        </w:rPr>
        <w:t xml:space="preserve">SIMILAR </w:t>
      </w:r>
      <w:r w:rsidRPr="00490998">
        <w:rPr>
          <w:b/>
        </w:rPr>
        <w:t>DISTRICT</w:t>
      </w:r>
      <w:r>
        <w:rPr>
          <w:b/>
        </w:rPr>
        <w:t>S</w:t>
      </w:r>
      <w:r w:rsidRPr="00490998">
        <w:rPr>
          <w:b/>
        </w:rPr>
        <w:t xml:space="preserve"> </w:t>
      </w:r>
      <w:r w:rsidR="006A4024">
        <w:rPr>
          <w:b/>
        </w:rPr>
        <w:t>METHOD — TECHNICAL NOTES 2019</w:t>
      </w:r>
      <w:r w:rsidR="00E74778">
        <w:rPr>
          <w:b/>
        </w:rPr>
        <w:br/>
      </w:r>
      <w:r w:rsidR="00E74778" w:rsidRPr="00E61FBF">
        <w:rPr>
          <w:i/>
        </w:rPr>
        <w:t>(revised September 2019)</w:t>
      </w:r>
    </w:p>
    <w:p w14:paraId="74C405BE" w14:textId="194B1403" w:rsidR="00912EC9" w:rsidRDefault="005A6411" w:rsidP="005A6411">
      <w:pPr>
        <w:rPr>
          <w:sz w:val="21"/>
          <w:szCs w:val="21"/>
        </w:rPr>
      </w:pPr>
      <w:r w:rsidRPr="004C1A9F">
        <w:rPr>
          <w:sz w:val="21"/>
          <w:szCs w:val="21"/>
        </w:rPr>
        <w:t xml:space="preserve">Similar Districts </w:t>
      </w:r>
      <w:r w:rsidR="002C6A19">
        <w:rPr>
          <w:sz w:val="21"/>
          <w:szCs w:val="21"/>
        </w:rPr>
        <w:t>is ODE’s framework to provide the field with useful comparison sets of districts that are similar in meaningful ways.  K</w:t>
      </w:r>
      <w:r w:rsidRPr="004C1A9F">
        <w:rPr>
          <w:sz w:val="21"/>
          <w:szCs w:val="21"/>
        </w:rPr>
        <w:t xml:space="preserve">ey </w:t>
      </w:r>
      <w:r w:rsidR="002C6A19">
        <w:rPr>
          <w:sz w:val="21"/>
          <w:szCs w:val="21"/>
        </w:rPr>
        <w:t xml:space="preserve">enrollment and community </w:t>
      </w:r>
      <w:r w:rsidRPr="004C1A9F">
        <w:rPr>
          <w:sz w:val="21"/>
          <w:szCs w:val="21"/>
        </w:rPr>
        <w:t xml:space="preserve">attributes </w:t>
      </w:r>
      <w:r w:rsidR="002C6A19">
        <w:rPr>
          <w:sz w:val="21"/>
          <w:szCs w:val="21"/>
        </w:rPr>
        <w:t xml:space="preserve">of any given district are used </w:t>
      </w:r>
      <w:r w:rsidRPr="004C1A9F">
        <w:rPr>
          <w:sz w:val="21"/>
          <w:szCs w:val="21"/>
        </w:rPr>
        <w:t xml:space="preserve">to generate a custom set of up to 20 highly comparable districts.  ODE publishes many data points based on </w:t>
      </w:r>
      <w:r w:rsidR="00912EC9">
        <w:rPr>
          <w:sz w:val="21"/>
          <w:szCs w:val="21"/>
        </w:rPr>
        <w:t>S</w:t>
      </w:r>
      <w:r w:rsidRPr="004C1A9F">
        <w:rPr>
          <w:sz w:val="21"/>
          <w:szCs w:val="21"/>
        </w:rPr>
        <w:t xml:space="preserve">imilar </w:t>
      </w:r>
      <w:r w:rsidR="00912EC9">
        <w:rPr>
          <w:sz w:val="21"/>
          <w:szCs w:val="21"/>
        </w:rPr>
        <w:t>D</w:t>
      </w:r>
      <w:r w:rsidRPr="004C1A9F">
        <w:rPr>
          <w:sz w:val="21"/>
          <w:szCs w:val="21"/>
        </w:rPr>
        <w:t>istrict, and administrators</w:t>
      </w:r>
      <w:r w:rsidR="002C6A19">
        <w:rPr>
          <w:sz w:val="21"/>
          <w:szCs w:val="21"/>
        </w:rPr>
        <w:t xml:space="preserve"> find </w:t>
      </w:r>
      <w:r w:rsidR="00566DC3">
        <w:rPr>
          <w:sz w:val="21"/>
          <w:szCs w:val="21"/>
        </w:rPr>
        <w:t>it a convenient</w:t>
      </w:r>
      <w:r w:rsidR="002C6A19">
        <w:rPr>
          <w:sz w:val="21"/>
          <w:szCs w:val="21"/>
        </w:rPr>
        <w:t xml:space="preserve"> </w:t>
      </w:r>
      <w:r w:rsidR="00912EC9">
        <w:rPr>
          <w:sz w:val="21"/>
          <w:szCs w:val="21"/>
        </w:rPr>
        <w:t>construct</w:t>
      </w:r>
      <w:r w:rsidR="002C6A19">
        <w:rPr>
          <w:sz w:val="21"/>
          <w:szCs w:val="21"/>
        </w:rPr>
        <w:t xml:space="preserve"> for</w:t>
      </w:r>
      <w:r w:rsidRPr="004C1A9F">
        <w:rPr>
          <w:sz w:val="21"/>
          <w:szCs w:val="21"/>
        </w:rPr>
        <w:t xml:space="preserve"> local benchmarking.</w:t>
      </w:r>
      <w:r w:rsidR="00912EC9">
        <w:rPr>
          <w:sz w:val="21"/>
          <w:szCs w:val="21"/>
        </w:rPr>
        <w:t xml:space="preserve">  </w:t>
      </w:r>
      <w:r w:rsidRPr="004C1A9F">
        <w:rPr>
          <w:sz w:val="21"/>
          <w:szCs w:val="21"/>
        </w:rPr>
        <w:t xml:space="preserve">Since </w:t>
      </w:r>
      <w:r w:rsidR="00566DC3">
        <w:rPr>
          <w:sz w:val="21"/>
          <w:szCs w:val="21"/>
        </w:rPr>
        <w:t xml:space="preserve">the </w:t>
      </w:r>
      <w:r w:rsidRPr="004C1A9F">
        <w:rPr>
          <w:sz w:val="21"/>
          <w:szCs w:val="21"/>
        </w:rPr>
        <w:t xml:space="preserve">data </w:t>
      </w:r>
      <w:r w:rsidR="00912EC9">
        <w:rPr>
          <w:sz w:val="21"/>
          <w:szCs w:val="21"/>
        </w:rPr>
        <w:t>for Similar Districts are</w:t>
      </w:r>
      <w:r w:rsidRPr="004C1A9F">
        <w:rPr>
          <w:sz w:val="21"/>
          <w:szCs w:val="21"/>
        </w:rPr>
        <w:t xml:space="preserve"> </w:t>
      </w:r>
      <w:r w:rsidR="00566DC3">
        <w:rPr>
          <w:sz w:val="21"/>
          <w:szCs w:val="21"/>
        </w:rPr>
        <w:t>refreshed</w:t>
      </w:r>
      <w:r w:rsidRPr="004C1A9F">
        <w:rPr>
          <w:sz w:val="21"/>
          <w:szCs w:val="21"/>
        </w:rPr>
        <w:t xml:space="preserve"> annually, </w:t>
      </w:r>
      <w:r w:rsidR="00912EC9">
        <w:rPr>
          <w:sz w:val="21"/>
          <w:szCs w:val="21"/>
        </w:rPr>
        <w:t xml:space="preserve">most </w:t>
      </w:r>
      <w:r w:rsidRPr="004C1A9F">
        <w:rPr>
          <w:sz w:val="21"/>
          <w:szCs w:val="21"/>
        </w:rPr>
        <w:t xml:space="preserve">districts have a slightly different </w:t>
      </w:r>
      <w:r w:rsidR="00C77950" w:rsidRPr="004C1A9F">
        <w:rPr>
          <w:sz w:val="21"/>
          <w:szCs w:val="21"/>
        </w:rPr>
        <w:t xml:space="preserve">comparison </w:t>
      </w:r>
      <w:r w:rsidRPr="004C1A9F">
        <w:rPr>
          <w:sz w:val="21"/>
          <w:szCs w:val="21"/>
        </w:rPr>
        <w:t>set</w:t>
      </w:r>
      <w:r w:rsidR="00C77950" w:rsidRPr="004C1A9F">
        <w:rPr>
          <w:sz w:val="21"/>
          <w:szCs w:val="21"/>
        </w:rPr>
        <w:t xml:space="preserve"> </w:t>
      </w:r>
      <w:r w:rsidRPr="004C1A9F">
        <w:rPr>
          <w:sz w:val="21"/>
          <w:szCs w:val="21"/>
        </w:rPr>
        <w:t>each year.</w:t>
      </w:r>
    </w:p>
    <w:p w14:paraId="1134B756" w14:textId="6D09A101" w:rsidR="005A6411" w:rsidRPr="004C1A9F" w:rsidRDefault="005A6411" w:rsidP="005A6411">
      <w:pPr>
        <w:rPr>
          <w:sz w:val="21"/>
          <w:szCs w:val="21"/>
        </w:rPr>
      </w:pPr>
      <w:r w:rsidRPr="004C1A9F">
        <w:rPr>
          <w:sz w:val="21"/>
          <w:szCs w:val="21"/>
        </w:rPr>
        <w:t>Occasionally</w:t>
      </w:r>
      <w:r w:rsidR="00DB210A">
        <w:rPr>
          <w:sz w:val="21"/>
          <w:szCs w:val="21"/>
        </w:rPr>
        <w:t>,</w:t>
      </w:r>
      <w:r w:rsidRPr="004C1A9F">
        <w:rPr>
          <w:sz w:val="21"/>
          <w:szCs w:val="21"/>
        </w:rPr>
        <w:t xml:space="preserve"> the department revisit</w:t>
      </w:r>
      <w:r w:rsidR="004E31BD" w:rsidRPr="004C1A9F">
        <w:rPr>
          <w:sz w:val="21"/>
          <w:szCs w:val="21"/>
        </w:rPr>
        <w:t>s</w:t>
      </w:r>
      <w:r w:rsidRPr="004C1A9F">
        <w:rPr>
          <w:sz w:val="21"/>
          <w:szCs w:val="21"/>
        </w:rPr>
        <w:t xml:space="preserve"> the selection of measures used in the framework. </w:t>
      </w:r>
      <w:r w:rsidR="00FE6728">
        <w:rPr>
          <w:b/>
          <w:color w:val="0070C0"/>
          <w:sz w:val="21"/>
          <w:szCs w:val="21"/>
        </w:rPr>
        <w:t xml:space="preserve">The 2019 Similar Districts calculation </w:t>
      </w:r>
      <w:r w:rsidR="00C77950" w:rsidRPr="00746A46">
        <w:rPr>
          <w:b/>
          <w:color w:val="0070C0"/>
          <w:sz w:val="21"/>
          <w:szCs w:val="21"/>
        </w:rPr>
        <w:t xml:space="preserve">represents a simplified method entailing </w:t>
      </w:r>
      <w:r w:rsidR="00073C92" w:rsidRPr="00746A46">
        <w:rPr>
          <w:b/>
          <w:color w:val="0070C0"/>
          <w:sz w:val="21"/>
          <w:szCs w:val="21"/>
        </w:rPr>
        <w:t>f</w:t>
      </w:r>
      <w:r w:rsidR="00C77950" w:rsidRPr="00746A46">
        <w:rPr>
          <w:b/>
          <w:color w:val="0070C0"/>
          <w:sz w:val="21"/>
          <w:szCs w:val="21"/>
        </w:rPr>
        <w:t>ewer input measures (7</w:t>
      </w:r>
      <w:r w:rsidR="00DE40D3" w:rsidRPr="00746A46">
        <w:rPr>
          <w:b/>
          <w:color w:val="0070C0"/>
          <w:sz w:val="21"/>
          <w:szCs w:val="21"/>
        </w:rPr>
        <w:t xml:space="preserve"> v</w:t>
      </w:r>
      <w:r w:rsidR="003938D9" w:rsidRPr="00746A46">
        <w:rPr>
          <w:b/>
          <w:color w:val="0070C0"/>
          <w:sz w:val="21"/>
          <w:szCs w:val="21"/>
        </w:rPr>
        <w:t xml:space="preserve">ersus </w:t>
      </w:r>
      <w:r w:rsidR="00DE40D3" w:rsidRPr="00746A46">
        <w:rPr>
          <w:b/>
          <w:color w:val="0070C0"/>
          <w:sz w:val="21"/>
          <w:szCs w:val="21"/>
        </w:rPr>
        <w:t>11</w:t>
      </w:r>
      <w:r w:rsidR="00C77950" w:rsidRPr="00746A46">
        <w:rPr>
          <w:b/>
          <w:color w:val="0070C0"/>
          <w:sz w:val="21"/>
          <w:szCs w:val="21"/>
        </w:rPr>
        <w:t xml:space="preserve">) with each </w:t>
      </w:r>
      <w:r w:rsidR="006A3895" w:rsidRPr="00746A46">
        <w:rPr>
          <w:b/>
          <w:color w:val="0070C0"/>
          <w:sz w:val="21"/>
          <w:szCs w:val="21"/>
        </w:rPr>
        <w:t>serving as a standalone dimension</w:t>
      </w:r>
      <w:r w:rsidR="00016DEF" w:rsidRPr="00746A46">
        <w:rPr>
          <w:b/>
          <w:color w:val="0070C0"/>
          <w:sz w:val="21"/>
          <w:szCs w:val="21"/>
        </w:rPr>
        <w:t xml:space="preserve"> </w:t>
      </w:r>
      <w:r w:rsidR="00644977" w:rsidRPr="00746A46">
        <w:rPr>
          <w:b/>
          <w:color w:val="0070C0"/>
          <w:sz w:val="21"/>
          <w:szCs w:val="21"/>
        </w:rPr>
        <w:t>regarding</w:t>
      </w:r>
      <w:r w:rsidR="00016DEF" w:rsidRPr="00746A46">
        <w:rPr>
          <w:b/>
          <w:color w:val="0070C0"/>
          <w:sz w:val="21"/>
          <w:szCs w:val="21"/>
        </w:rPr>
        <w:t xml:space="preserve"> </w:t>
      </w:r>
      <w:r w:rsidR="00797879" w:rsidRPr="00746A46">
        <w:rPr>
          <w:b/>
          <w:color w:val="0070C0"/>
          <w:sz w:val="21"/>
          <w:szCs w:val="21"/>
        </w:rPr>
        <w:t xml:space="preserve">a </w:t>
      </w:r>
      <w:r w:rsidR="00016DEF" w:rsidRPr="00746A46">
        <w:rPr>
          <w:b/>
          <w:color w:val="0070C0"/>
          <w:sz w:val="21"/>
          <w:szCs w:val="21"/>
        </w:rPr>
        <w:t>district</w:t>
      </w:r>
      <w:r w:rsidR="00797879" w:rsidRPr="00746A46">
        <w:rPr>
          <w:b/>
          <w:color w:val="0070C0"/>
          <w:sz w:val="21"/>
          <w:szCs w:val="21"/>
        </w:rPr>
        <w:t>’s</w:t>
      </w:r>
      <w:r w:rsidR="00644977" w:rsidRPr="00746A46">
        <w:rPr>
          <w:b/>
          <w:color w:val="0070C0"/>
          <w:sz w:val="21"/>
          <w:szCs w:val="21"/>
        </w:rPr>
        <w:t xml:space="preserve"> </w:t>
      </w:r>
      <w:r w:rsidR="00D01CE2" w:rsidRPr="00746A46">
        <w:rPr>
          <w:b/>
          <w:color w:val="0070C0"/>
          <w:sz w:val="21"/>
          <w:szCs w:val="21"/>
        </w:rPr>
        <w:t xml:space="preserve">size, </w:t>
      </w:r>
      <w:r w:rsidR="00644977" w:rsidRPr="00746A46">
        <w:rPr>
          <w:b/>
          <w:color w:val="0070C0"/>
          <w:sz w:val="21"/>
          <w:szCs w:val="21"/>
        </w:rPr>
        <w:t xml:space="preserve">setting </w:t>
      </w:r>
      <w:r w:rsidR="00797879" w:rsidRPr="00746A46">
        <w:rPr>
          <w:b/>
          <w:color w:val="0070C0"/>
          <w:sz w:val="21"/>
          <w:szCs w:val="21"/>
        </w:rPr>
        <w:t xml:space="preserve">or </w:t>
      </w:r>
      <w:r w:rsidR="00644977" w:rsidRPr="00746A46">
        <w:rPr>
          <w:b/>
          <w:color w:val="0070C0"/>
          <w:sz w:val="21"/>
          <w:szCs w:val="21"/>
        </w:rPr>
        <w:t>risk attributes.</w:t>
      </w:r>
      <w:r w:rsidR="00FD1833" w:rsidRPr="00746A46">
        <w:rPr>
          <w:color w:val="0070C0"/>
          <w:sz w:val="21"/>
          <w:szCs w:val="21"/>
        </w:rPr>
        <w:t xml:space="preserve"> </w:t>
      </w:r>
    </w:p>
    <w:p w14:paraId="76B2B8C0" w14:textId="333596DE" w:rsidR="00644977" w:rsidRPr="00AA63E6" w:rsidRDefault="00644977" w:rsidP="000347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63E6">
        <w:rPr>
          <w:sz w:val="20"/>
          <w:szCs w:val="20"/>
        </w:rPr>
        <w:t xml:space="preserve">Student </w:t>
      </w:r>
      <w:r w:rsidR="00034799" w:rsidRPr="00AA63E6">
        <w:rPr>
          <w:sz w:val="20"/>
          <w:szCs w:val="20"/>
        </w:rPr>
        <w:t>E</w:t>
      </w:r>
      <w:r w:rsidRPr="00AA63E6">
        <w:rPr>
          <w:sz w:val="20"/>
          <w:szCs w:val="20"/>
        </w:rPr>
        <w:t>nrollmen</w:t>
      </w:r>
      <w:r w:rsidR="00034799" w:rsidRPr="00AA63E6">
        <w:rPr>
          <w:sz w:val="20"/>
          <w:szCs w:val="20"/>
        </w:rPr>
        <w:t>t</w:t>
      </w:r>
      <w:r w:rsidR="00F41CEA" w:rsidRPr="00AA63E6">
        <w:rPr>
          <w:sz w:val="20"/>
          <w:szCs w:val="20"/>
        </w:rPr>
        <w:t>—O</w:t>
      </w:r>
      <w:r w:rsidR="006A4024" w:rsidRPr="00AA63E6">
        <w:rPr>
          <w:sz w:val="20"/>
          <w:szCs w:val="20"/>
        </w:rPr>
        <w:t>hio Dept. of Education</w:t>
      </w:r>
      <w:r w:rsidR="00F41CEA" w:rsidRPr="00AA63E6">
        <w:rPr>
          <w:sz w:val="20"/>
          <w:szCs w:val="20"/>
        </w:rPr>
        <w:t xml:space="preserve">, School Year </w:t>
      </w:r>
      <w:r w:rsidR="006A4024" w:rsidRPr="00AA63E6">
        <w:rPr>
          <w:sz w:val="20"/>
          <w:szCs w:val="20"/>
        </w:rPr>
        <w:t>2017-</w:t>
      </w:r>
      <w:r w:rsidR="00F41CEA" w:rsidRPr="00AA63E6">
        <w:rPr>
          <w:sz w:val="20"/>
          <w:szCs w:val="20"/>
        </w:rPr>
        <w:t>2018</w:t>
      </w:r>
      <w:r w:rsidR="003938D9" w:rsidRPr="00AA63E6">
        <w:rPr>
          <w:sz w:val="20"/>
          <w:szCs w:val="20"/>
        </w:rPr>
        <w:t xml:space="preserve"> </w:t>
      </w:r>
    </w:p>
    <w:p w14:paraId="35F4747E" w14:textId="54A73A07" w:rsidR="005A6411" w:rsidRPr="00AA63E6" w:rsidRDefault="005A6411" w:rsidP="005A641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63E6">
        <w:rPr>
          <w:sz w:val="20"/>
          <w:szCs w:val="20"/>
        </w:rPr>
        <w:t xml:space="preserve">Percent </w:t>
      </w:r>
      <w:r w:rsidR="00034799" w:rsidRPr="00AA63E6">
        <w:rPr>
          <w:sz w:val="20"/>
          <w:szCs w:val="20"/>
        </w:rPr>
        <w:t>P</w:t>
      </w:r>
      <w:r w:rsidRPr="00AA63E6">
        <w:rPr>
          <w:sz w:val="20"/>
          <w:szCs w:val="20"/>
        </w:rPr>
        <w:t xml:space="preserve">opulation in </w:t>
      </w:r>
      <w:r w:rsidR="00034799" w:rsidRPr="00AA63E6">
        <w:rPr>
          <w:sz w:val="20"/>
          <w:szCs w:val="20"/>
        </w:rPr>
        <w:t>U</w:t>
      </w:r>
      <w:r w:rsidRPr="00AA63E6">
        <w:rPr>
          <w:sz w:val="20"/>
          <w:szCs w:val="20"/>
        </w:rPr>
        <w:t xml:space="preserve">rbanized </w:t>
      </w:r>
      <w:r w:rsidR="00034799" w:rsidRPr="00AA63E6">
        <w:rPr>
          <w:sz w:val="20"/>
          <w:szCs w:val="20"/>
        </w:rPr>
        <w:t>T</w:t>
      </w:r>
      <w:r w:rsidRPr="00AA63E6">
        <w:rPr>
          <w:sz w:val="20"/>
          <w:szCs w:val="20"/>
        </w:rPr>
        <w:t>erritory</w:t>
      </w:r>
      <w:r w:rsidR="00C4143E" w:rsidRPr="00AA63E6">
        <w:rPr>
          <w:sz w:val="20"/>
          <w:szCs w:val="20"/>
        </w:rPr>
        <w:t xml:space="preserve">—U.S. Census Bureau, </w:t>
      </w:r>
      <w:r w:rsidR="006A4024" w:rsidRPr="00AA63E6">
        <w:rPr>
          <w:sz w:val="20"/>
          <w:szCs w:val="20"/>
        </w:rPr>
        <w:t xml:space="preserve">Decennial </w:t>
      </w:r>
      <w:r w:rsidR="00C4143E" w:rsidRPr="00AA63E6">
        <w:rPr>
          <w:sz w:val="20"/>
          <w:szCs w:val="20"/>
        </w:rPr>
        <w:t>2010</w:t>
      </w:r>
    </w:p>
    <w:p w14:paraId="7E25CADB" w14:textId="347B00B6" w:rsidR="005A6411" w:rsidRPr="00AA63E6" w:rsidRDefault="005A6411" w:rsidP="005A641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63E6">
        <w:rPr>
          <w:sz w:val="20"/>
          <w:szCs w:val="20"/>
        </w:rPr>
        <w:t xml:space="preserve">Population </w:t>
      </w:r>
      <w:r w:rsidR="00034799" w:rsidRPr="00AA63E6">
        <w:rPr>
          <w:sz w:val="20"/>
          <w:szCs w:val="20"/>
        </w:rPr>
        <w:t>D</w:t>
      </w:r>
      <w:r w:rsidRPr="00AA63E6">
        <w:rPr>
          <w:sz w:val="20"/>
          <w:szCs w:val="20"/>
        </w:rPr>
        <w:t>ensity</w:t>
      </w:r>
      <w:r w:rsidR="00C4143E" w:rsidRPr="00AA63E6">
        <w:rPr>
          <w:sz w:val="20"/>
          <w:szCs w:val="20"/>
        </w:rPr>
        <w:t xml:space="preserve">—U.S. Census Bureau, </w:t>
      </w:r>
      <w:r w:rsidR="006A4024" w:rsidRPr="00AA63E6">
        <w:rPr>
          <w:sz w:val="20"/>
          <w:szCs w:val="20"/>
        </w:rPr>
        <w:t xml:space="preserve">American Community Survey </w:t>
      </w:r>
      <w:r w:rsidR="003F7F6A" w:rsidRPr="00AA63E6">
        <w:rPr>
          <w:sz w:val="20"/>
          <w:szCs w:val="20"/>
        </w:rPr>
        <w:t>(</w:t>
      </w:r>
      <w:r w:rsidR="00C4143E" w:rsidRPr="00AA63E6">
        <w:rPr>
          <w:sz w:val="20"/>
          <w:szCs w:val="20"/>
        </w:rPr>
        <w:t>2013-</w:t>
      </w:r>
      <w:r w:rsidR="003F7F6A" w:rsidRPr="00AA63E6">
        <w:rPr>
          <w:sz w:val="20"/>
          <w:szCs w:val="20"/>
        </w:rPr>
        <w:t>)</w:t>
      </w:r>
      <w:r w:rsidR="00C4143E" w:rsidRPr="00AA63E6">
        <w:rPr>
          <w:sz w:val="20"/>
          <w:szCs w:val="20"/>
        </w:rPr>
        <w:t>2017</w:t>
      </w:r>
    </w:p>
    <w:p w14:paraId="6C9A7481" w14:textId="151A2519" w:rsidR="005A6411" w:rsidRPr="00AA63E6" w:rsidRDefault="005A6411" w:rsidP="005A641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63E6">
        <w:rPr>
          <w:sz w:val="20"/>
          <w:szCs w:val="20"/>
        </w:rPr>
        <w:t xml:space="preserve">Median </w:t>
      </w:r>
      <w:r w:rsidR="00034799" w:rsidRPr="00AA63E6">
        <w:rPr>
          <w:sz w:val="20"/>
          <w:szCs w:val="20"/>
        </w:rPr>
        <w:t>A</w:t>
      </w:r>
      <w:r w:rsidRPr="00AA63E6">
        <w:rPr>
          <w:sz w:val="20"/>
          <w:szCs w:val="20"/>
        </w:rPr>
        <w:t xml:space="preserve">djusted </w:t>
      </w:r>
      <w:r w:rsidR="00034799" w:rsidRPr="00AA63E6">
        <w:rPr>
          <w:sz w:val="20"/>
          <w:szCs w:val="20"/>
        </w:rPr>
        <w:t>G</w:t>
      </w:r>
      <w:r w:rsidRPr="00AA63E6">
        <w:rPr>
          <w:sz w:val="20"/>
          <w:szCs w:val="20"/>
        </w:rPr>
        <w:t xml:space="preserve">ross </w:t>
      </w:r>
      <w:r w:rsidR="00034799" w:rsidRPr="00AA63E6">
        <w:rPr>
          <w:sz w:val="20"/>
          <w:szCs w:val="20"/>
        </w:rPr>
        <w:t>I</w:t>
      </w:r>
      <w:r w:rsidRPr="00AA63E6">
        <w:rPr>
          <w:sz w:val="20"/>
          <w:szCs w:val="20"/>
        </w:rPr>
        <w:t xml:space="preserve">ncome on </w:t>
      </w:r>
      <w:r w:rsidR="00034799" w:rsidRPr="00AA63E6">
        <w:rPr>
          <w:sz w:val="20"/>
          <w:szCs w:val="20"/>
        </w:rPr>
        <w:t>T</w:t>
      </w:r>
      <w:r w:rsidRPr="00AA63E6">
        <w:rPr>
          <w:sz w:val="20"/>
          <w:szCs w:val="20"/>
        </w:rPr>
        <w:t xml:space="preserve">ax </w:t>
      </w:r>
      <w:r w:rsidR="00034799" w:rsidRPr="00AA63E6">
        <w:rPr>
          <w:sz w:val="20"/>
          <w:szCs w:val="20"/>
        </w:rPr>
        <w:t>R</w:t>
      </w:r>
      <w:r w:rsidRPr="00AA63E6">
        <w:rPr>
          <w:sz w:val="20"/>
          <w:szCs w:val="20"/>
        </w:rPr>
        <w:t>eturns</w:t>
      </w:r>
      <w:r w:rsidR="00C4143E" w:rsidRPr="00AA63E6">
        <w:rPr>
          <w:sz w:val="20"/>
          <w:szCs w:val="20"/>
        </w:rPr>
        <w:t>—Ohio Dept. of Taxation, 2017</w:t>
      </w:r>
    </w:p>
    <w:p w14:paraId="7C74595E" w14:textId="5184EF51" w:rsidR="005A6411" w:rsidRPr="00AA63E6" w:rsidRDefault="005A6411" w:rsidP="005A641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63E6">
        <w:rPr>
          <w:sz w:val="20"/>
          <w:szCs w:val="20"/>
        </w:rPr>
        <w:t xml:space="preserve">Percent </w:t>
      </w:r>
      <w:r w:rsidR="00034799" w:rsidRPr="00AA63E6">
        <w:rPr>
          <w:sz w:val="20"/>
          <w:szCs w:val="20"/>
        </w:rPr>
        <w:t>E</w:t>
      </w:r>
      <w:r w:rsidR="00644977" w:rsidRPr="00AA63E6">
        <w:rPr>
          <w:sz w:val="20"/>
          <w:szCs w:val="20"/>
        </w:rPr>
        <w:t xml:space="preserve">conomically </w:t>
      </w:r>
      <w:r w:rsidR="00034799" w:rsidRPr="00AA63E6">
        <w:rPr>
          <w:sz w:val="20"/>
          <w:szCs w:val="20"/>
        </w:rPr>
        <w:t>D</w:t>
      </w:r>
      <w:r w:rsidR="00644977" w:rsidRPr="00AA63E6">
        <w:rPr>
          <w:sz w:val="20"/>
          <w:szCs w:val="20"/>
        </w:rPr>
        <w:t xml:space="preserve">isadvantaged </w:t>
      </w:r>
      <w:r w:rsidR="00034799" w:rsidRPr="00AA63E6">
        <w:rPr>
          <w:sz w:val="20"/>
          <w:szCs w:val="20"/>
        </w:rPr>
        <w:t>E</w:t>
      </w:r>
      <w:r w:rsidR="00644977" w:rsidRPr="00AA63E6">
        <w:rPr>
          <w:sz w:val="20"/>
          <w:szCs w:val="20"/>
        </w:rPr>
        <w:t>nrollment</w:t>
      </w:r>
      <w:r w:rsidR="00422055" w:rsidRPr="00AA63E6">
        <w:rPr>
          <w:sz w:val="20"/>
          <w:szCs w:val="20"/>
        </w:rPr>
        <w:t>—O</w:t>
      </w:r>
      <w:r w:rsidR="006A4024" w:rsidRPr="00AA63E6">
        <w:rPr>
          <w:sz w:val="20"/>
          <w:szCs w:val="20"/>
        </w:rPr>
        <w:t>hio Dept. of Education</w:t>
      </w:r>
      <w:r w:rsidR="00422055" w:rsidRPr="00AA63E6">
        <w:rPr>
          <w:sz w:val="20"/>
          <w:szCs w:val="20"/>
        </w:rPr>
        <w:t xml:space="preserve">, School Year </w:t>
      </w:r>
      <w:r w:rsidR="006A4024" w:rsidRPr="00AA63E6">
        <w:rPr>
          <w:sz w:val="20"/>
          <w:szCs w:val="20"/>
        </w:rPr>
        <w:t>2017-</w:t>
      </w:r>
      <w:r w:rsidR="00422055" w:rsidRPr="00AA63E6">
        <w:rPr>
          <w:sz w:val="20"/>
          <w:szCs w:val="20"/>
        </w:rPr>
        <w:t>2018</w:t>
      </w:r>
    </w:p>
    <w:p w14:paraId="1695698E" w14:textId="23907000" w:rsidR="005A6411" w:rsidRPr="00AA63E6" w:rsidRDefault="005A6411" w:rsidP="004220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63E6">
        <w:rPr>
          <w:sz w:val="20"/>
          <w:szCs w:val="20"/>
        </w:rPr>
        <w:t xml:space="preserve">Percent </w:t>
      </w:r>
      <w:r w:rsidR="00034799" w:rsidRPr="00AA63E6">
        <w:rPr>
          <w:sz w:val="20"/>
          <w:szCs w:val="20"/>
        </w:rPr>
        <w:t>A</w:t>
      </w:r>
      <w:r w:rsidRPr="00AA63E6">
        <w:rPr>
          <w:sz w:val="20"/>
          <w:szCs w:val="20"/>
        </w:rPr>
        <w:t xml:space="preserve">dults with </w:t>
      </w:r>
      <w:r w:rsidR="006A4024" w:rsidRPr="00AA63E6">
        <w:rPr>
          <w:sz w:val="20"/>
          <w:szCs w:val="20"/>
        </w:rPr>
        <w:t xml:space="preserve">at least </w:t>
      </w:r>
      <w:r w:rsidRPr="00AA63E6">
        <w:rPr>
          <w:sz w:val="20"/>
          <w:szCs w:val="20"/>
        </w:rPr>
        <w:t xml:space="preserve">a Bachelor’s </w:t>
      </w:r>
      <w:r w:rsidR="00034799" w:rsidRPr="00AA63E6">
        <w:rPr>
          <w:sz w:val="20"/>
          <w:szCs w:val="20"/>
        </w:rPr>
        <w:t>D</w:t>
      </w:r>
      <w:r w:rsidRPr="00AA63E6">
        <w:rPr>
          <w:sz w:val="20"/>
          <w:szCs w:val="20"/>
        </w:rPr>
        <w:t>egree</w:t>
      </w:r>
      <w:r w:rsidR="00422055" w:rsidRPr="00AA63E6">
        <w:rPr>
          <w:sz w:val="20"/>
          <w:szCs w:val="20"/>
        </w:rPr>
        <w:t xml:space="preserve">—U.S. Census Bureau, </w:t>
      </w:r>
      <w:r w:rsidR="006A4024" w:rsidRPr="00AA63E6">
        <w:rPr>
          <w:sz w:val="20"/>
          <w:szCs w:val="20"/>
        </w:rPr>
        <w:t xml:space="preserve">ACS </w:t>
      </w:r>
      <w:r w:rsidR="00862543" w:rsidRPr="00AA63E6">
        <w:rPr>
          <w:sz w:val="20"/>
          <w:szCs w:val="20"/>
        </w:rPr>
        <w:t>(</w:t>
      </w:r>
      <w:r w:rsidR="00422055" w:rsidRPr="00AA63E6">
        <w:rPr>
          <w:sz w:val="20"/>
          <w:szCs w:val="20"/>
        </w:rPr>
        <w:t>2013-</w:t>
      </w:r>
      <w:r w:rsidR="00862543" w:rsidRPr="00AA63E6">
        <w:rPr>
          <w:sz w:val="20"/>
          <w:szCs w:val="20"/>
        </w:rPr>
        <w:t>)</w:t>
      </w:r>
      <w:r w:rsidR="00422055" w:rsidRPr="00AA63E6">
        <w:rPr>
          <w:sz w:val="20"/>
          <w:szCs w:val="20"/>
        </w:rPr>
        <w:t>2017</w:t>
      </w:r>
    </w:p>
    <w:p w14:paraId="275ED2E7" w14:textId="5BFBA9A1" w:rsidR="005F3BAD" w:rsidRPr="00AA63E6" w:rsidRDefault="005A6411" w:rsidP="00A5513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63E6">
        <w:rPr>
          <w:sz w:val="20"/>
          <w:szCs w:val="20"/>
        </w:rPr>
        <w:t xml:space="preserve">Percent </w:t>
      </w:r>
      <w:r w:rsidR="00034799" w:rsidRPr="00AA63E6">
        <w:rPr>
          <w:sz w:val="20"/>
          <w:szCs w:val="20"/>
        </w:rPr>
        <w:t>M</w:t>
      </w:r>
      <w:r w:rsidRPr="00AA63E6">
        <w:rPr>
          <w:sz w:val="20"/>
          <w:szCs w:val="20"/>
        </w:rPr>
        <w:t xml:space="preserve">inority </w:t>
      </w:r>
      <w:r w:rsidR="00034799" w:rsidRPr="00AA63E6">
        <w:rPr>
          <w:sz w:val="20"/>
          <w:szCs w:val="20"/>
        </w:rPr>
        <w:t>R</w:t>
      </w:r>
      <w:r w:rsidRPr="00AA63E6">
        <w:rPr>
          <w:sz w:val="20"/>
          <w:szCs w:val="20"/>
        </w:rPr>
        <w:t>ac</w:t>
      </w:r>
      <w:r w:rsidR="003938D9" w:rsidRPr="00AA63E6">
        <w:rPr>
          <w:sz w:val="20"/>
          <w:szCs w:val="20"/>
        </w:rPr>
        <w:t>ial/</w:t>
      </w:r>
      <w:r w:rsidR="00034799" w:rsidRPr="00AA63E6">
        <w:rPr>
          <w:sz w:val="20"/>
          <w:szCs w:val="20"/>
        </w:rPr>
        <w:t>E</w:t>
      </w:r>
      <w:r w:rsidR="003938D9" w:rsidRPr="00AA63E6">
        <w:rPr>
          <w:sz w:val="20"/>
          <w:szCs w:val="20"/>
        </w:rPr>
        <w:t>thnic</w:t>
      </w:r>
      <w:r w:rsidRPr="00AA63E6">
        <w:rPr>
          <w:sz w:val="20"/>
          <w:szCs w:val="20"/>
        </w:rPr>
        <w:t xml:space="preserve"> </w:t>
      </w:r>
      <w:r w:rsidR="00034799" w:rsidRPr="00AA63E6">
        <w:rPr>
          <w:sz w:val="20"/>
          <w:szCs w:val="20"/>
        </w:rPr>
        <w:t>E</w:t>
      </w:r>
      <w:r w:rsidRPr="00AA63E6">
        <w:rPr>
          <w:sz w:val="20"/>
          <w:szCs w:val="20"/>
        </w:rPr>
        <w:t>nrollment</w:t>
      </w:r>
      <w:r w:rsidR="00422055" w:rsidRPr="00AA63E6">
        <w:rPr>
          <w:sz w:val="20"/>
          <w:szCs w:val="20"/>
        </w:rPr>
        <w:t>—O</w:t>
      </w:r>
      <w:r w:rsidR="00780795">
        <w:rPr>
          <w:sz w:val="20"/>
          <w:szCs w:val="20"/>
        </w:rPr>
        <w:t>hio Dept. of Education</w:t>
      </w:r>
      <w:r w:rsidR="00422055" w:rsidRPr="00AA63E6">
        <w:rPr>
          <w:sz w:val="20"/>
          <w:szCs w:val="20"/>
        </w:rPr>
        <w:t xml:space="preserve">, School Year </w:t>
      </w:r>
      <w:r w:rsidR="00780795" w:rsidRPr="00AA63E6">
        <w:rPr>
          <w:sz w:val="20"/>
          <w:szCs w:val="20"/>
        </w:rPr>
        <w:t>2017-2018</w:t>
      </w:r>
    </w:p>
    <w:p w14:paraId="6E592B69" w14:textId="3805B88F" w:rsidR="00746A46" w:rsidRDefault="00DB210A" w:rsidP="005813F3">
      <w:pPr>
        <w:rPr>
          <w:sz w:val="21"/>
          <w:szCs w:val="21"/>
        </w:rPr>
      </w:pPr>
      <w:r>
        <w:rPr>
          <w:sz w:val="21"/>
          <w:szCs w:val="21"/>
        </w:rPr>
        <w:t>The p</w:t>
      </w:r>
      <w:r w:rsidR="00A55137" w:rsidRPr="00A55137">
        <w:rPr>
          <w:sz w:val="21"/>
          <w:szCs w:val="21"/>
        </w:rPr>
        <w:t xml:space="preserve">ercent </w:t>
      </w:r>
      <w:r>
        <w:rPr>
          <w:sz w:val="21"/>
          <w:szCs w:val="21"/>
        </w:rPr>
        <w:t>p</w:t>
      </w:r>
      <w:r w:rsidR="00A55137" w:rsidRPr="00A55137">
        <w:rPr>
          <w:sz w:val="21"/>
          <w:szCs w:val="21"/>
        </w:rPr>
        <w:t>op</w:t>
      </w:r>
      <w:r w:rsidR="00F17D67">
        <w:rPr>
          <w:sz w:val="21"/>
          <w:szCs w:val="21"/>
        </w:rPr>
        <w:t>ulation</w:t>
      </w:r>
      <w:r>
        <w:rPr>
          <w:sz w:val="21"/>
          <w:szCs w:val="21"/>
        </w:rPr>
        <w:t xml:space="preserve"> residing</w:t>
      </w:r>
      <w:r w:rsidR="00A55137" w:rsidRPr="00A55137">
        <w:rPr>
          <w:sz w:val="21"/>
          <w:szCs w:val="21"/>
        </w:rPr>
        <w:t xml:space="preserve"> in </w:t>
      </w:r>
      <w:r>
        <w:rPr>
          <w:sz w:val="21"/>
          <w:szCs w:val="21"/>
        </w:rPr>
        <w:t>u</w:t>
      </w:r>
      <w:r w:rsidR="00A55137" w:rsidRPr="00A55137">
        <w:rPr>
          <w:sz w:val="21"/>
          <w:szCs w:val="21"/>
        </w:rPr>
        <w:t xml:space="preserve">rbanized </w:t>
      </w:r>
      <w:r>
        <w:rPr>
          <w:sz w:val="21"/>
          <w:szCs w:val="21"/>
        </w:rPr>
        <w:t>t</w:t>
      </w:r>
      <w:r w:rsidR="00A55137" w:rsidRPr="00A55137">
        <w:rPr>
          <w:sz w:val="21"/>
          <w:szCs w:val="21"/>
        </w:rPr>
        <w:t>erritory</w:t>
      </w:r>
      <w:r>
        <w:rPr>
          <w:sz w:val="21"/>
          <w:szCs w:val="21"/>
        </w:rPr>
        <w:t>—perhaps the most direct measure of “urbanicity”—is</w:t>
      </w:r>
      <w:r w:rsidR="00A55137" w:rsidRPr="00A55137">
        <w:rPr>
          <w:sz w:val="21"/>
          <w:szCs w:val="21"/>
        </w:rPr>
        <w:t xml:space="preserve"> the only</w:t>
      </w:r>
      <w:r>
        <w:rPr>
          <w:sz w:val="21"/>
          <w:szCs w:val="21"/>
        </w:rPr>
        <w:t xml:space="preserve"> new input introduced </w:t>
      </w:r>
      <w:r w:rsidR="00FE6728">
        <w:rPr>
          <w:sz w:val="21"/>
          <w:szCs w:val="21"/>
        </w:rPr>
        <w:t>in 2019</w:t>
      </w:r>
      <w:r w:rsidR="00A55137" w:rsidRPr="00A55137">
        <w:rPr>
          <w:sz w:val="21"/>
          <w:szCs w:val="21"/>
        </w:rPr>
        <w:t xml:space="preserve">, with adjustments </w:t>
      </w:r>
      <w:r w:rsidR="00A55137">
        <w:rPr>
          <w:sz w:val="21"/>
          <w:szCs w:val="21"/>
        </w:rPr>
        <w:t xml:space="preserve">to two </w:t>
      </w:r>
      <w:r w:rsidR="00A55137" w:rsidRPr="00A55137">
        <w:rPr>
          <w:sz w:val="21"/>
          <w:szCs w:val="21"/>
        </w:rPr>
        <w:t xml:space="preserve">other </w:t>
      </w:r>
      <w:r>
        <w:rPr>
          <w:sz w:val="21"/>
          <w:szCs w:val="21"/>
        </w:rPr>
        <w:t xml:space="preserve">input </w:t>
      </w:r>
      <w:r w:rsidR="00A55137" w:rsidRPr="00A55137">
        <w:rPr>
          <w:sz w:val="21"/>
          <w:szCs w:val="21"/>
        </w:rPr>
        <w:t>measures:</w:t>
      </w:r>
    </w:p>
    <w:p w14:paraId="66AAE507" w14:textId="2533F84E" w:rsidR="00746A46" w:rsidRDefault="00746A46" w:rsidP="00746A4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L</w:t>
      </w:r>
      <w:r w:rsidR="00A55137" w:rsidRPr="00746A46">
        <w:rPr>
          <w:sz w:val="21"/>
          <w:szCs w:val="21"/>
        </w:rPr>
        <w:t>and area</w:t>
      </w:r>
      <w:r w:rsidR="006A4024">
        <w:rPr>
          <w:sz w:val="21"/>
          <w:szCs w:val="21"/>
        </w:rPr>
        <w:t xml:space="preserve"> (from Census TIGER file)</w:t>
      </w:r>
      <w:r w:rsidR="00FE6728">
        <w:rPr>
          <w:sz w:val="21"/>
          <w:szCs w:val="21"/>
        </w:rPr>
        <w:t>—</w:t>
      </w:r>
      <w:r w:rsidR="00A55137" w:rsidRPr="00746A46">
        <w:rPr>
          <w:sz w:val="21"/>
          <w:szCs w:val="21"/>
        </w:rPr>
        <w:t>rather than overall area</w:t>
      </w:r>
      <w:r w:rsidR="00FE6728">
        <w:rPr>
          <w:sz w:val="21"/>
          <w:szCs w:val="21"/>
        </w:rPr>
        <w:t>—</w:t>
      </w:r>
      <w:r w:rsidR="00093AAE">
        <w:rPr>
          <w:sz w:val="21"/>
          <w:szCs w:val="21"/>
        </w:rPr>
        <w:t>serves as</w:t>
      </w:r>
      <w:r w:rsidR="00A55137" w:rsidRPr="00746A46">
        <w:rPr>
          <w:sz w:val="21"/>
          <w:szCs w:val="21"/>
        </w:rPr>
        <w:t xml:space="preserve"> the denominator for </w:t>
      </w:r>
      <w:r w:rsidR="00DB210A">
        <w:rPr>
          <w:sz w:val="21"/>
          <w:szCs w:val="21"/>
        </w:rPr>
        <w:t>p</w:t>
      </w:r>
      <w:r w:rsidR="00A55137" w:rsidRPr="00746A46">
        <w:rPr>
          <w:sz w:val="21"/>
          <w:szCs w:val="21"/>
        </w:rPr>
        <w:t xml:space="preserve">opulation </w:t>
      </w:r>
      <w:r w:rsidR="00DB210A">
        <w:rPr>
          <w:sz w:val="21"/>
          <w:szCs w:val="21"/>
        </w:rPr>
        <w:t>d</w:t>
      </w:r>
      <w:r w:rsidR="00A55137" w:rsidRPr="00746A46">
        <w:rPr>
          <w:sz w:val="21"/>
          <w:szCs w:val="21"/>
        </w:rPr>
        <w:t>ensity;</w:t>
      </w:r>
      <w:r>
        <w:rPr>
          <w:sz w:val="21"/>
          <w:szCs w:val="21"/>
        </w:rPr>
        <w:t xml:space="preserve"> and</w:t>
      </w:r>
    </w:p>
    <w:p w14:paraId="08CC6611" w14:textId="0C87493B" w:rsidR="00B17631" w:rsidRPr="00746A46" w:rsidRDefault="00746A46" w:rsidP="00746A4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A</w:t>
      </w:r>
      <w:r w:rsidR="00A55137" w:rsidRPr="00746A46">
        <w:rPr>
          <w:sz w:val="21"/>
          <w:szCs w:val="21"/>
        </w:rPr>
        <w:t xml:space="preserve">ll </w:t>
      </w:r>
      <w:r w:rsidR="00093AAE">
        <w:rPr>
          <w:sz w:val="21"/>
          <w:szCs w:val="21"/>
        </w:rPr>
        <w:t xml:space="preserve">of the </w:t>
      </w:r>
      <w:r w:rsidR="00A55137" w:rsidRPr="00746A46">
        <w:rPr>
          <w:sz w:val="21"/>
          <w:szCs w:val="21"/>
        </w:rPr>
        <w:t>racial</w:t>
      </w:r>
      <w:r w:rsidR="002860B0">
        <w:rPr>
          <w:sz w:val="21"/>
          <w:szCs w:val="21"/>
        </w:rPr>
        <w:t xml:space="preserve"> and </w:t>
      </w:r>
      <w:r w:rsidR="00A55137" w:rsidRPr="00746A46">
        <w:rPr>
          <w:sz w:val="21"/>
          <w:szCs w:val="21"/>
        </w:rPr>
        <w:t xml:space="preserve">ethnic categories </w:t>
      </w:r>
      <w:r w:rsidR="00246709" w:rsidRPr="00746A46">
        <w:rPr>
          <w:sz w:val="21"/>
          <w:szCs w:val="21"/>
        </w:rPr>
        <w:t>(besides</w:t>
      </w:r>
      <w:r w:rsidR="00A55137" w:rsidRPr="00746A46">
        <w:rPr>
          <w:sz w:val="21"/>
          <w:szCs w:val="21"/>
        </w:rPr>
        <w:t xml:space="preserve"> </w:t>
      </w:r>
      <w:r w:rsidR="00DB210A">
        <w:rPr>
          <w:sz w:val="21"/>
          <w:szCs w:val="21"/>
        </w:rPr>
        <w:t>White, n</w:t>
      </w:r>
      <w:r w:rsidR="00A55137" w:rsidRPr="00FE6CC5">
        <w:rPr>
          <w:sz w:val="21"/>
          <w:szCs w:val="21"/>
        </w:rPr>
        <w:t>on-Hispanic</w:t>
      </w:r>
      <w:r w:rsidR="00246709" w:rsidRPr="00746A46">
        <w:rPr>
          <w:sz w:val="21"/>
          <w:szCs w:val="21"/>
        </w:rPr>
        <w:t>)</w:t>
      </w:r>
      <w:r w:rsidR="00A55137" w:rsidRPr="00746A46">
        <w:rPr>
          <w:sz w:val="21"/>
          <w:szCs w:val="21"/>
        </w:rPr>
        <w:t xml:space="preserve"> </w:t>
      </w:r>
      <w:r w:rsidR="00093AAE">
        <w:rPr>
          <w:sz w:val="21"/>
          <w:szCs w:val="21"/>
        </w:rPr>
        <w:t xml:space="preserve">are </w:t>
      </w:r>
      <w:r w:rsidR="00A55137" w:rsidRPr="00746A46">
        <w:rPr>
          <w:sz w:val="21"/>
          <w:szCs w:val="21"/>
        </w:rPr>
        <w:t>included in</w:t>
      </w:r>
      <w:r w:rsidR="002860B0">
        <w:rPr>
          <w:sz w:val="21"/>
          <w:szCs w:val="21"/>
        </w:rPr>
        <w:t xml:space="preserve"> the numerator of </w:t>
      </w:r>
      <w:r w:rsidR="00DB210A">
        <w:rPr>
          <w:sz w:val="21"/>
          <w:szCs w:val="21"/>
        </w:rPr>
        <w:t>p</w:t>
      </w:r>
      <w:r w:rsidR="002860B0">
        <w:rPr>
          <w:sz w:val="21"/>
          <w:szCs w:val="21"/>
        </w:rPr>
        <w:t xml:space="preserve">ercent </w:t>
      </w:r>
      <w:r w:rsidR="00DB210A">
        <w:rPr>
          <w:sz w:val="21"/>
          <w:szCs w:val="21"/>
        </w:rPr>
        <w:t>m</w:t>
      </w:r>
      <w:r w:rsidR="002860B0">
        <w:rPr>
          <w:sz w:val="21"/>
          <w:szCs w:val="21"/>
        </w:rPr>
        <w:t>inority</w:t>
      </w:r>
      <w:r w:rsidR="00DB210A">
        <w:rPr>
          <w:sz w:val="21"/>
          <w:szCs w:val="21"/>
        </w:rPr>
        <w:t xml:space="preserve"> enrollment</w:t>
      </w:r>
      <w:r w:rsidR="002860B0">
        <w:rPr>
          <w:sz w:val="21"/>
          <w:szCs w:val="21"/>
        </w:rPr>
        <w:t>.</w:t>
      </w:r>
      <w:r w:rsidR="00A55137" w:rsidRPr="00746A46">
        <w:rPr>
          <w:sz w:val="21"/>
          <w:szCs w:val="21"/>
        </w:rPr>
        <w:t xml:space="preserve"> </w:t>
      </w:r>
    </w:p>
    <w:p w14:paraId="6DF1E745" w14:textId="77777777" w:rsidR="006952AA" w:rsidRDefault="00DB210A" w:rsidP="005A6411">
      <w:pPr>
        <w:rPr>
          <w:sz w:val="21"/>
          <w:szCs w:val="21"/>
        </w:rPr>
      </w:pPr>
      <w:r>
        <w:rPr>
          <w:sz w:val="21"/>
          <w:szCs w:val="21"/>
        </w:rPr>
        <w:t>Previous input m</w:t>
      </w:r>
      <w:r w:rsidR="00B17631" w:rsidRPr="00471F2A">
        <w:rPr>
          <w:sz w:val="21"/>
          <w:szCs w:val="21"/>
        </w:rPr>
        <w:t>easures</w:t>
      </w:r>
      <w:r w:rsidR="00FE6728">
        <w:rPr>
          <w:sz w:val="21"/>
          <w:szCs w:val="21"/>
        </w:rPr>
        <w:t xml:space="preserve"> that are</w:t>
      </w:r>
      <w:r w:rsidR="00B17631" w:rsidRPr="00471F2A">
        <w:rPr>
          <w:sz w:val="21"/>
          <w:szCs w:val="21"/>
        </w:rPr>
        <w:t xml:space="preserve"> excluded </w:t>
      </w:r>
      <w:r w:rsidR="00FE6728">
        <w:rPr>
          <w:sz w:val="21"/>
          <w:szCs w:val="21"/>
        </w:rPr>
        <w:t xml:space="preserve">in 2019 </w:t>
      </w:r>
      <w:r w:rsidR="00B17631" w:rsidRPr="00471F2A">
        <w:rPr>
          <w:sz w:val="21"/>
          <w:szCs w:val="21"/>
        </w:rPr>
        <w:t xml:space="preserve">were deemed to provide insufficient additive benefit (e.g., </w:t>
      </w:r>
      <w:r>
        <w:rPr>
          <w:sz w:val="21"/>
          <w:szCs w:val="21"/>
        </w:rPr>
        <w:t>p</w:t>
      </w:r>
      <w:r w:rsidR="00B17631" w:rsidRPr="00471F2A">
        <w:rPr>
          <w:sz w:val="21"/>
          <w:szCs w:val="21"/>
        </w:rPr>
        <w:t xml:space="preserve">ercent </w:t>
      </w:r>
      <w:r>
        <w:rPr>
          <w:sz w:val="21"/>
          <w:szCs w:val="21"/>
        </w:rPr>
        <w:t>p</w:t>
      </w:r>
      <w:r w:rsidR="00B17631" w:rsidRPr="00471F2A">
        <w:rPr>
          <w:sz w:val="21"/>
          <w:szCs w:val="21"/>
        </w:rPr>
        <w:t xml:space="preserve">opulation in </w:t>
      </w:r>
      <w:r>
        <w:rPr>
          <w:sz w:val="21"/>
          <w:szCs w:val="21"/>
        </w:rPr>
        <w:t>a</w:t>
      </w:r>
      <w:r w:rsidR="00B17631" w:rsidRPr="00471F2A">
        <w:rPr>
          <w:sz w:val="21"/>
          <w:szCs w:val="21"/>
        </w:rPr>
        <w:t>dministrative/</w:t>
      </w:r>
      <w:r>
        <w:rPr>
          <w:sz w:val="21"/>
          <w:szCs w:val="21"/>
        </w:rPr>
        <w:t>p</w:t>
      </w:r>
      <w:r w:rsidR="00B17631" w:rsidRPr="00471F2A">
        <w:rPr>
          <w:sz w:val="21"/>
          <w:szCs w:val="21"/>
        </w:rPr>
        <w:t xml:space="preserve">rofessional </w:t>
      </w:r>
      <w:r>
        <w:rPr>
          <w:sz w:val="21"/>
          <w:szCs w:val="21"/>
        </w:rPr>
        <w:t>o</w:t>
      </w:r>
      <w:r w:rsidR="00B17631" w:rsidRPr="00471F2A">
        <w:rPr>
          <w:sz w:val="21"/>
          <w:szCs w:val="21"/>
        </w:rPr>
        <w:t xml:space="preserve">ccupations) or to </w:t>
      </w:r>
      <w:r w:rsidR="00772FA8">
        <w:rPr>
          <w:sz w:val="21"/>
          <w:szCs w:val="21"/>
        </w:rPr>
        <w:t xml:space="preserve">imply </w:t>
      </w:r>
      <w:r w:rsidR="008A76D3" w:rsidRPr="00471F2A">
        <w:rPr>
          <w:sz w:val="21"/>
          <w:szCs w:val="21"/>
        </w:rPr>
        <w:t>comparability</w:t>
      </w:r>
      <w:r w:rsidR="00E34424">
        <w:rPr>
          <w:sz w:val="21"/>
          <w:szCs w:val="21"/>
        </w:rPr>
        <w:t xml:space="preserve"> </w:t>
      </w:r>
      <w:r w:rsidR="006B1980">
        <w:rPr>
          <w:sz w:val="21"/>
          <w:szCs w:val="21"/>
        </w:rPr>
        <w:t xml:space="preserve">where </w:t>
      </w:r>
      <w:r w:rsidR="00B93225">
        <w:rPr>
          <w:sz w:val="21"/>
          <w:szCs w:val="21"/>
        </w:rPr>
        <w:t>more complex realities</w:t>
      </w:r>
      <w:r w:rsidR="006B1980">
        <w:rPr>
          <w:sz w:val="21"/>
          <w:szCs w:val="21"/>
        </w:rPr>
        <w:t xml:space="preserve"> exist</w:t>
      </w:r>
      <w:r w:rsidR="008A76D3" w:rsidRPr="00471F2A">
        <w:rPr>
          <w:sz w:val="21"/>
          <w:szCs w:val="21"/>
        </w:rPr>
        <w:t xml:space="preserve"> (</w:t>
      </w:r>
      <w:r w:rsidR="0077326F" w:rsidRPr="00471F2A">
        <w:rPr>
          <w:sz w:val="21"/>
          <w:szCs w:val="21"/>
        </w:rPr>
        <w:t xml:space="preserve">e.g., </w:t>
      </w:r>
      <w:r>
        <w:rPr>
          <w:sz w:val="21"/>
          <w:szCs w:val="21"/>
        </w:rPr>
        <w:t>n</w:t>
      </w:r>
      <w:r w:rsidR="0077326F" w:rsidRPr="00471F2A">
        <w:rPr>
          <w:sz w:val="21"/>
          <w:szCs w:val="21"/>
        </w:rPr>
        <w:t>on-</w:t>
      </w:r>
      <w:r>
        <w:rPr>
          <w:sz w:val="21"/>
          <w:szCs w:val="21"/>
        </w:rPr>
        <w:t>a</w:t>
      </w:r>
      <w:r w:rsidR="0077326F" w:rsidRPr="00471F2A">
        <w:rPr>
          <w:sz w:val="21"/>
          <w:szCs w:val="21"/>
        </w:rPr>
        <w:t>gricultural</w:t>
      </w:r>
      <w:r>
        <w:rPr>
          <w:sz w:val="21"/>
          <w:szCs w:val="21"/>
        </w:rPr>
        <w:t>/n</w:t>
      </w:r>
      <w:r w:rsidR="0077326F" w:rsidRPr="00471F2A">
        <w:rPr>
          <w:sz w:val="21"/>
          <w:szCs w:val="21"/>
        </w:rPr>
        <w:t>on-</w:t>
      </w:r>
      <w:r>
        <w:rPr>
          <w:sz w:val="21"/>
          <w:szCs w:val="21"/>
        </w:rPr>
        <w:t>r</w:t>
      </w:r>
      <w:r w:rsidR="0077326F" w:rsidRPr="00471F2A">
        <w:rPr>
          <w:sz w:val="21"/>
          <w:szCs w:val="21"/>
        </w:rPr>
        <w:t xml:space="preserve">esidential </w:t>
      </w:r>
      <w:r>
        <w:rPr>
          <w:sz w:val="21"/>
          <w:szCs w:val="21"/>
        </w:rPr>
        <w:t>t</w:t>
      </w:r>
      <w:r w:rsidR="0077326F" w:rsidRPr="00471F2A">
        <w:rPr>
          <w:sz w:val="21"/>
          <w:szCs w:val="21"/>
        </w:rPr>
        <w:t xml:space="preserve">ax </w:t>
      </w:r>
      <w:r>
        <w:rPr>
          <w:sz w:val="21"/>
          <w:szCs w:val="21"/>
        </w:rPr>
        <w:t>c</w:t>
      </w:r>
      <w:r w:rsidR="0077326F" w:rsidRPr="00471F2A">
        <w:rPr>
          <w:sz w:val="21"/>
          <w:szCs w:val="21"/>
        </w:rPr>
        <w:t>apacity).</w:t>
      </w:r>
      <w:r w:rsidR="006952AA">
        <w:rPr>
          <w:sz w:val="21"/>
          <w:szCs w:val="21"/>
        </w:rPr>
        <w:t xml:space="preserve">  </w:t>
      </w:r>
      <w:r w:rsidR="003938D9" w:rsidRPr="004C1A9F">
        <w:rPr>
          <w:sz w:val="21"/>
          <w:szCs w:val="21"/>
        </w:rPr>
        <w:t xml:space="preserve">As </w:t>
      </w:r>
      <w:r w:rsidR="00E313B0">
        <w:rPr>
          <w:sz w:val="21"/>
          <w:szCs w:val="21"/>
        </w:rPr>
        <w:t>in the past</w:t>
      </w:r>
      <w:r w:rsidR="003938D9" w:rsidRPr="004C1A9F">
        <w:rPr>
          <w:sz w:val="21"/>
          <w:szCs w:val="21"/>
        </w:rPr>
        <w:t xml:space="preserve">, the </w:t>
      </w:r>
      <w:r w:rsidR="00E61FBF">
        <w:rPr>
          <w:sz w:val="21"/>
          <w:szCs w:val="21"/>
        </w:rPr>
        <w:t xml:space="preserve">2019 method </w:t>
      </w:r>
      <w:r w:rsidR="003938D9" w:rsidRPr="004C1A9F">
        <w:rPr>
          <w:sz w:val="21"/>
          <w:szCs w:val="21"/>
        </w:rPr>
        <w:t>does not include fiscal or policy</w:t>
      </w:r>
      <w:r w:rsidR="00334C1F" w:rsidRPr="004C1A9F">
        <w:rPr>
          <w:sz w:val="21"/>
          <w:szCs w:val="21"/>
        </w:rPr>
        <w:t>-related</w:t>
      </w:r>
      <w:r w:rsidR="003938D9" w:rsidRPr="004C1A9F">
        <w:rPr>
          <w:sz w:val="21"/>
          <w:szCs w:val="21"/>
        </w:rPr>
        <w:t xml:space="preserve"> </w:t>
      </w:r>
      <w:r w:rsidR="00B9008E">
        <w:rPr>
          <w:sz w:val="21"/>
          <w:szCs w:val="21"/>
        </w:rPr>
        <w:t>variables</w:t>
      </w:r>
      <w:r w:rsidR="00136D0B" w:rsidRPr="004C1A9F">
        <w:rPr>
          <w:sz w:val="21"/>
          <w:szCs w:val="21"/>
        </w:rPr>
        <w:t xml:space="preserve">; </w:t>
      </w:r>
      <w:r w:rsidR="00466868" w:rsidRPr="004C1A9F">
        <w:rPr>
          <w:sz w:val="21"/>
          <w:szCs w:val="21"/>
        </w:rPr>
        <w:t xml:space="preserve">rather, </w:t>
      </w:r>
      <w:r w:rsidR="00136D0B" w:rsidRPr="004C1A9F">
        <w:rPr>
          <w:sz w:val="21"/>
          <w:szCs w:val="21"/>
        </w:rPr>
        <w:t xml:space="preserve">these </w:t>
      </w:r>
      <w:r w:rsidR="003938D9" w:rsidRPr="004C1A9F">
        <w:rPr>
          <w:sz w:val="21"/>
          <w:szCs w:val="21"/>
        </w:rPr>
        <w:t>might</w:t>
      </w:r>
      <w:r w:rsidR="00466868" w:rsidRPr="004C1A9F">
        <w:rPr>
          <w:sz w:val="21"/>
          <w:szCs w:val="21"/>
        </w:rPr>
        <w:t xml:space="preserve"> </w:t>
      </w:r>
      <w:r w:rsidR="00136D0B" w:rsidRPr="004C1A9F">
        <w:rPr>
          <w:sz w:val="21"/>
          <w:szCs w:val="21"/>
        </w:rPr>
        <w:t xml:space="preserve">be </w:t>
      </w:r>
      <w:r w:rsidR="00334C1F" w:rsidRPr="004C1A9F">
        <w:rPr>
          <w:sz w:val="21"/>
          <w:szCs w:val="21"/>
        </w:rPr>
        <w:t xml:space="preserve">explored as </w:t>
      </w:r>
      <w:r>
        <w:rPr>
          <w:sz w:val="21"/>
          <w:szCs w:val="21"/>
        </w:rPr>
        <w:t xml:space="preserve">factors </w:t>
      </w:r>
      <w:r w:rsidR="006B1980">
        <w:rPr>
          <w:sz w:val="21"/>
          <w:szCs w:val="21"/>
        </w:rPr>
        <w:t xml:space="preserve">contributing to </w:t>
      </w:r>
      <w:r w:rsidR="00334C1F" w:rsidRPr="004C1A9F">
        <w:rPr>
          <w:sz w:val="21"/>
          <w:szCs w:val="21"/>
        </w:rPr>
        <w:t>differ</w:t>
      </w:r>
      <w:r w:rsidR="006B1980">
        <w:rPr>
          <w:sz w:val="21"/>
          <w:szCs w:val="21"/>
        </w:rPr>
        <w:t>ent</w:t>
      </w:r>
      <w:r w:rsidR="00334C1F" w:rsidRPr="004C1A9F">
        <w:rPr>
          <w:sz w:val="21"/>
          <w:szCs w:val="21"/>
        </w:rPr>
        <w:t xml:space="preserve"> outcomes</w:t>
      </w:r>
      <w:r w:rsidR="00E313B0">
        <w:rPr>
          <w:sz w:val="21"/>
          <w:szCs w:val="21"/>
        </w:rPr>
        <w:t xml:space="preserve"> among similar districts</w:t>
      </w:r>
      <w:r w:rsidR="00334C1F" w:rsidRPr="004C1A9F">
        <w:rPr>
          <w:sz w:val="21"/>
          <w:szCs w:val="21"/>
        </w:rPr>
        <w:t>.</w:t>
      </w:r>
    </w:p>
    <w:p w14:paraId="7F1EAF25" w14:textId="4EB86ADF" w:rsidR="00FF61E2" w:rsidRDefault="001E77E6" w:rsidP="005A6411">
      <w:pPr>
        <w:rPr>
          <w:sz w:val="21"/>
          <w:szCs w:val="21"/>
        </w:rPr>
      </w:pPr>
      <w:r w:rsidRPr="004C1A9F">
        <w:rPr>
          <w:sz w:val="21"/>
          <w:szCs w:val="21"/>
        </w:rPr>
        <w:t>A</w:t>
      </w:r>
      <w:r w:rsidR="006952AA">
        <w:rPr>
          <w:sz w:val="21"/>
          <w:szCs w:val="21"/>
        </w:rPr>
        <w:t>kin</w:t>
      </w:r>
      <w:r w:rsidR="00F30A0B">
        <w:rPr>
          <w:sz w:val="21"/>
          <w:szCs w:val="21"/>
        </w:rPr>
        <w:t xml:space="preserve"> to the previous </w:t>
      </w:r>
      <w:r w:rsidR="00690984">
        <w:rPr>
          <w:sz w:val="21"/>
          <w:szCs w:val="21"/>
        </w:rPr>
        <w:t>method</w:t>
      </w:r>
      <w:r w:rsidRPr="004C1A9F">
        <w:rPr>
          <w:sz w:val="21"/>
          <w:szCs w:val="21"/>
        </w:rPr>
        <w:t>,</w:t>
      </w:r>
      <w:r w:rsidR="008F1283" w:rsidRPr="004C1A9F">
        <w:rPr>
          <w:sz w:val="21"/>
          <w:szCs w:val="21"/>
        </w:rPr>
        <w:t xml:space="preserve"> a district</w:t>
      </w:r>
      <w:r w:rsidR="00512B6B" w:rsidRPr="004C1A9F">
        <w:rPr>
          <w:sz w:val="21"/>
          <w:szCs w:val="21"/>
        </w:rPr>
        <w:t>’s</w:t>
      </w:r>
      <w:r w:rsidR="008F1283" w:rsidRPr="004C1A9F">
        <w:rPr>
          <w:sz w:val="21"/>
          <w:szCs w:val="21"/>
        </w:rPr>
        <w:t xml:space="preserve"> compar</w:t>
      </w:r>
      <w:r w:rsidR="00512B6B" w:rsidRPr="004C1A9F">
        <w:rPr>
          <w:sz w:val="21"/>
          <w:szCs w:val="21"/>
        </w:rPr>
        <w:t xml:space="preserve">ison set </w:t>
      </w:r>
      <w:r w:rsidR="008F1283" w:rsidRPr="004C1A9F">
        <w:rPr>
          <w:sz w:val="21"/>
          <w:szCs w:val="21"/>
        </w:rPr>
        <w:t xml:space="preserve">is made up of </w:t>
      </w:r>
      <w:r w:rsidR="00B9008E">
        <w:rPr>
          <w:sz w:val="21"/>
          <w:szCs w:val="21"/>
        </w:rPr>
        <w:t xml:space="preserve">its </w:t>
      </w:r>
      <w:r w:rsidR="00156A5E" w:rsidRPr="004C1A9F">
        <w:rPr>
          <w:sz w:val="21"/>
          <w:szCs w:val="21"/>
        </w:rPr>
        <w:t>stat</w:t>
      </w:r>
      <w:r w:rsidR="00C01D71" w:rsidRPr="004C1A9F">
        <w:rPr>
          <w:sz w:val="21"/>
          <w:szCs w:val="21"/>
        </w:rPr>
        <w:t>istical</w:t>
      </w:r>
      <w:r w:rsidR="006B1980">
        <w:rPr>
          <w:sz w:val="21"/>
          <w:szCs w:val="21"/>
        </w:rPr>
        <w:t xml:space="preserve"> </w:t>
      </w:r>
      <w:r w:rsidR="00C01D71" w:rsidRPr="004C1A9F">
        <w:rPr>
          <w:sz w:val="21"/>
          <w:szCs w:val="21"/>
        </w:rPr>
        <w:t>“nearest</w:t>
      </w:r>
      <w:r w:rsidR="00B9008E">
        <w:rPr>
          <w:sz w:val="21"/>
          <w:szCs w:val="21"/>
        </w:rPr>
        <w:t xml:space="preserve"> neighbors</w:t>
      </w:r>
      <w:r w:rsidR="00C01D71" w:rsidRPr="004C1A9F">
        <w:rPr>
          <w:sz w:val="21"/>
          <w:szCs w:val="21"/>
        </w:rPr>
        <w:t>,</w:t>
      </w:r>
      <w:r w:rsidR="00B9008E">
        <w:rPr>
          <w:sz w:val="21"/>
          <w:szCs w:val="21"/>
        </w:rPr>
        <w:t>”</w:t>
      </w:r>
      <w:r w:rsidR="00C01D71" w:rsidRPr="004C1A9F">
        <w:rPr>
          <w:sz w:val="21"/>
          <w:szCs w:val="21"/>
        </w:rPr>
        <w:t xml:space="preserve"> with distance calculated as </w:t>
      </w:r>
      <w:r w:rsidR="008F1283" w:rsidRPr="004C1A9F">
        <w:rPr>
          <w:sz w:val="21"/>
          <w:szCs w:val="21"/>
        </w:rPr>
        <w:t>the square root of the combined squared differences o</w:t>
      </w:r>
      <w:r w:rsidR="006B1980">
        <w:rPr>
          <w:sz w:val="21"/>
          <w:szCs w:val="21"/>
        </w:rPr>
        <w:t>f</w:t>
      </w:r>
      <w:r w:rsidR="008F1283" w:rsidRPr="004C1A9F">
        <w:rPr>
          <w:sz w:val="21"/>
          <w:szCs w:val="21"/>
        </w:rPr>
        <w:t xml:space="preserve"> </w:t>
      </w:r>
      <w:r w:rsidRPr="004C1A9F">
        <w:rPr>
          <w:sz w:val="21"/>
          <w:szCs w:val="21"/>
        </w:rPr>
        <w:t>all</w:t>
      </w:r>
      <w:r w:rsidR="008F1283" w:rsidRPr="004C1A9F">
        <w:rPr>
          <w:sz w:val="21"/>
          <w:szCs w:val="21"/>
        </w:rPr>
        <w:t xml:space="preserve"> input dimensions.</w:t>
      </w:r>
      <w:r w:rsidR="00C23C43" w:rsidRPr="004C1A9F">
        <w:rPr>
          <w:rStyle w:val="FootnoteReference"/>
          <w:sz w:val="21"/>
          <w:szCs w:val="21"/>
        </w:rPr>
        <w:footnoteReference w:id="1"/>
      </w:r>
      <w:r w:rsidR="005A0C01">
        <w:rPr>
          <w:sz w:val="21"/>
          <w:szCs w:val="21"/>
        </w:rPr>
        <w:t xml:space="preserve">  For a small number of districts with exceptionally unique profile</w:t>
      </w:r>
      <w:r w:rsidR="0016434F">
        <w:rPr>
          <w:sz w:val="21"/>
          <w:szCs w:val="21"/>
        </w:rPr>
        <w:t>s</w:t>
      </w:r>
      <w:r w:rsidR="005A0C01">
        <w:rPr>
          <w:sz w:val="21"/>
          <w:szCs w:val="21"/>
        </w:rPr>
        <w:t>, there are fewer than 20 comparable districts</w:t>
      </w:r>
      <w:r w:rsidR="00690984">
        <w:rPr>
          <w:sz w:val="21"/>
          <w:szCs w:val="21"/>
        </w:rPr>
        <w:t xml:space="preserve"> (</w:t>
      </w:r>
      <w:r w:rsidR="005A6654">
        <w:rPr>
          <w:sz w:val="21"/>
          <w:szCs w:val="21"/>
        </w:rPr>
        <w:t xml:space="preserve">based on </w:t>
      </w:r>
      <w:r w:rsidR="0016434F">
        <w:rPr>
          <w:sz w:val="21"/>
          <w:szCs w:val="21"/>
        </w:rPr>
        <w:t>a cutoff of 2.5 in the distance metric</w:t>
      </w:r>
      <w:r w:rsidR="00690984">
        <w:rPr>
          <w:sz w:val="21"/>
          <w:szCs w:val="21"/>
        </w:rPr>
        <w:t>)</w:t>
      </w:r>
      <w:r w:rsidR="005A0C01">
        <w:rPr>
          <w:sz w:val="21"/>
          <w:szCs w:val="21"/>
        </w:rPr>
        <w:t>.</w:t>
      </w:r>
      <w:r w:rsidR="007D14AB">
        <w:rPr>
          <w:sz w:val="21"/>
          <w:szCs w:val="21"/>
        </w:rPr>
        <w:t xml:space="preserve"> </w:t>
      </w:r>
      <w:r w:rsidR="005A0C01">
        <w:rPr>
          <w:sz w:val="21"/>
          <w:szCs w:val="21"/>
        </w:rPr>
        <w:t xml:space="preserve">  </w:t>
      </w:r>
      <w:bookmarkStart w:id="0" w:name="_GoBack"/>
      <w:bookmarkEnd w:id="0"/>
    </w:p>
    <w:p w14:paraId="6C9A7E34" w14:textId="77777777" w:rsidR="00FE6728" w:rsidRPr="00AA63E6" w:rsidRDefault="00FE6728" w:rsidP="00FE6728">
      <w:pPr>
        <w:spacing w:after="0"/>
        <w:rPr>
          <w:b/>
          <w:sz w:val="21"/>
          <w:szCs w:val="21"/>
        </w:rPr>
      </w:pPr>
      <w:r w:rsidRPr="00AA63E6">
        <w:rPr>
          <w:b/>
          <w:sz w:val="21"/>
          <w:szCs w:val="21"/>
        </w:rPr>
        <w:t xml:space="preserve">For questions or comments, </w:t>
      </w:r>
      <w:r w:rsidRPr="00AA63E6">
        <w:rPr>
          <w:b/>
          <w:sz w:val="21"/>
          <w:szCs w:val="21"/>
        </w:rPr>
        <w:t xml:space="preserve">please </w:t>
      </w:r>
      <w:r w:rsidRPr="00AA63E6">
        <w:rPr>
          <w:b/>
          <w:sz w:val="21"/>
          <w:szCs w:val="21"/>
        </w:rPr>
        <w:t>contact:</w:t>
      </w:r>
    </w:p>
    <w:p w14:paraId="1E168212" w14:textId="77777777" w:rsidR="00FE6728" w:rsidRPr="00AA63E6" w:rsidRDefault="00FE6728" w:rsidP="00FE6728">
      <w:pPr>
        <w:spacing w:after="0"/>
        <w:rPr>
          <w:sz w:val="21"/>
          <w:szCs w:val="21"/>
        </w:rPr>
      </w:pPr>
      <w:r w:rsidRPr="00AA63E6">
        <w:rPr>
          <w:sz w:val="21"/>
          <w:szCs w:val="21"/>
        </w:rPr>
        <w:t>Eben Dowell</w:t>
      </w:r>
    </w:p>
    <w:p w14:paraId="3E13E9CA" w14:textId="5A6CE192" w:rsidR="00FE6728" w:rsidRPr="00AA63E6" w:rsidRDefault="00FE6728" w:rsidP="00FE6728">
      <w:pPr>
        <w:spacing w:after="0"/>
        <w:rPr>
          <w:sz w:val="21"/>
          <w:szCs w:val="21"/>
        </w:rPr>
      </w:pPr>
      <w:r w:rsidRPr="00AA63E6">
        <w:rPr>
          <w:sz w:val="21"/>
          <w:szCs w:val="21"/>
        </w:rPr>
        <w:t>Office of Research, Evaluation &amp; Advanced Analytics</w:t>
      </w:r>
    </w:p>
    <w:p w14:paraId="338D662E" w14:textId="7DF22291" w:rsidR="00FE6728" w:rsidRPr="00AA63E6" w:rsidRDefault="00FE6728" w:rsidP="00E74778">
      <w:pPr>
        <w:spacing w:after="0"/>
        <w:rPr>
          <w:sz w:val="21"/>
          <w:szCs w:val="21"/>
        </w:rPr>
      </w:pPr>
      <w:r w:rsidRPr="00AA63E6">
        <w:rPr>
          <w:sz w:val="21"/>
          <w:szCs w:val="21"/>
        </w:rPr>
        <w:t>eben.dowell</w:t>
      </w:r>
      <w:r w:rsidRPr="00AA63E6">
        <w:rPr>
          <w:sz w:val="21"/>
          <w:szCs w:val="21"/>
        </w:rPr>
        <w:t>@education.ohio.gov</w:t>
      </w:r>
    </w:p>
    <w:sectPr w:rsidR="00FE6728" w:rsidRPr="00AA63E6" w:rsidSect="00B32382">
      <w:head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3C9F8" w14:textId="77777777" w:rsidR="00B93DAF" w:rsidRDefault="00B93DAF" w:rsidP="00C77950">
      <w:pPr>
        <w:spacing w:after="0" w:line="240" w:lineRule="auto"/>
      </w:pPr>
      <w:r>
        <w:separator/>
      </w:r>
    </w:p>
  </w:endnote>
  <w:endnote w:type="continuationSeparator" w:id="0">
    <w:p w14:paraId="252E2E4E" w14:textId="77777777" w:rsidR="00B93DAF" w:rsidRDefault="00B93DAF" w:rsidP="00C7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70C6E" w14:textId="77777777" w:rsidR="00B93DAF" w:rsidRDefault="00B93DAF" w:rsidP="00C77950">
      <w:pPr>
        <w:spacing w:after="0" w:line="240" w:lineRule="auto"/>
      </w:pPr>
      <w:r>
        <w:separator/>
      </w:r>
    </w:p>
  </w:footnote>
  <w:footnote w:type="continuationSeparator" w:id="0">
    <w:p w14:paraId="025078D4" w14:textId="77777777" w:rsidR="00B93DAF" w:rsidRDefault="00B93DAF" w:rsidP="00C77950">
      <w:pPr>
        <w:spacing w:after="0" w:line="240" w:lineRule="auto"/>
      </w:pPr>
      <w:r>
        <w:continuationSeparator/>
      </w:r>
    </w:p>
  </w:footnote>
  <w:footnote w:id="1">
    <w:p w14:paraId="03A6C50C" w14:textId="0C0E8A44" w:rsidR="00C23C43" w:rsidRPr="00491E57" w:rsidRDefault="00C23C43" w:rsidP="00C23C43">
      <w:pPr>
        <w:pStyle w:val="FootnoteText"/>
        <w:rPr>
          <w:sz w:val="19"/>
          <w:szCs w:val="19"/>
          <w:vertAlign w:val="superscript"/>
        </w:rPr>
      </w:pPr>
      <w:r>
        <w:rPr>
          <w:rStyle w:val="FootnoteReference"/>
        </w:rPr>
        <w:footnoteRef/>
      </w:r>
      <w:r>
        <w:t xml:space="preserve"> </w:t>
      </w:r>
      <w:r w:rsidRPr="00491E57">
        <w:rPr>
          <w:sz w:val="19"/>
          <w:szCs w:val="19"/>
        </w:rPr>
        <w:t xml:space="preserve">District-to-district comparisons—Where </w:t>
      </w:r>
      <w:r w:rsidR="00491E57">
        <w:rPr>
          <w:sz w:val="19"/>
          <w:szCs w:val="19"/>
        </w:rPr>
        <w:t xml:space="preserve">letters </w:t>
      </w:r>
      <w:r w:rsidRPr="00491E57">
        <w:rPr>
          <w:sz w:val="19"/>
          <w:szCs w:val="19"/>
        </w:rPr>
        <w:t>A</w:t>
      </w:r>
      <w:r w:rsidR="004F5803" w:rsidRPr="00491E57">
        <w:rPr>
          <w:sz w:val="19"/>
          <w:szCs w:val="19"/>
        </w:rPr>
        <w:t xml:space="preserve"> to </w:t>
      </w:r>
      <w:r w:rsidRPr="00491E57">
        <w:rPr>
          <w:sz w:val="19"/>
          <w:szCs w:val="19"/>
        </w:rPr>
        <w:t xml:space="preserve">G represent </w:t>
      </w:r>
      <w:r w:rsidR="004F5803" w:rsidRPr="00491E57">
        <w:rPr>
          <w:sz w:val="19"/>
          <w:szCs w:val="19"/>
        </w:rPr>
        <w:t xml:space="preserve">the 7 </w:t>
      </w:r>
      <w:r w:rsidRPr="00491E57">
        <w:rPr>
          <w:sz w:val="19"/>
          <w:szCs w:val="19"/>
        </w:rPr>
        <w:t>dimension</w:t>
      </w:r>
      <w:r w:rsidR="00B93225" w:rsidRPr="00491E57">
        <w:rPr>
          <w:sz w:val="19"/>
          <w:szCs w:val="19"/>
        </w:rPr>
        <w:t>s</w:t>
      </w:r>
      <w:r w:rsidRPr="00491E57">
        <w:rPr>
          <w:sz w:val="19"/>
          <w:szCs w:val="19"/>
        </w:rPr>
        <w:t xml:space="preserve"> and i represents the district of interest and j represents the </w:t>
      </w:r>
      <w:r w:rsidR="004F5803" w:rsidRPr="00491E57">
        <w:rPr>
          <w:sz w:val="19"/>
          <w:szCs w:val="19"/>
        </w:rPr>
        <w:t xml:space="preserve">comparison </w:t>
      </w:r>
      <w:r w:rsidRPr="00491E57">
        <w:rPr>
          <w:sz w:val="19"/>
          <w:szCs w:val="19"/>
        </w:rPr>
        <w:t>district, the distance between two districts is calculated as</w:t>
      </w:r>
      <w:r w:rsidR="001A34DC" w:rsidRPr="00491E57">
        <w:rPr>
          <w:sz w:val="19"/>
          <w:szCs w:val="19"/>
        </w:rPr>
        <w:t xml:space="preserve"> the following</w:t>
      </w:r>
      <w:r w:rsidRPr="00491E57">
        <w:rPr>
          <w:sz w:val="19"/>
          <w:szCs w:val="19"/>
        </w:rPr>
        <w:t xml:space="preserve">:  </w:t>
      </w:r>
      <w:r w:rsidR="00491E57">
        <w:rPr>
          <w:sz w:val="19"/>
          <w:szCs w:val="19"/>
        </w:rPr>
        <w:br/>
        <w:t>Distance</w:t>
      </w:r>
      <w:r w:rsidRPr="00491E57">
        <w:rPr>
          <w:sz w:val="19"/>
          <w:szCs w:val="19"/>
        </w:rPr>
        <w:t xml:space="preserve"> = [(Ai-Aj)</w:t>
      </w:r>
      <w:r w:rsidRPr="00491E57">
        <w:rPr>
          <w:sz w:val="19"/>
          <w:szCs w:val="19"/>
          <w:vertAlign w:val="superscript"/>
        </w:rPr>
        <w:t>2</w:t>
      </w:r>
      <w:r w:rsidRPr="00491E57">
        <w:rPr>
          <w:sz w:val="19"/>
          <w:szCs w:val="19"/>
        </w:rPr>
        <w:t xml:space="preserve"> + (Bi-Bj)</w:t>
      </w:r>
      <w:r w:rsidRPr="00491E57">
        <w:rPr>
          <w:sz w:val="19"/>
          <w:szCs w:val="19"/>
          <w:vertAlign w:val="superscript"/>
        </w:rPr>
        <w:t>2</w:t>
      </w:r>
      <w:r w:rsidRPr="00491E57">
        <w:rPr>
          <w:sz w:val="19"/>
          <w:szCs w:val="19"/>
        </w:rPr>
        <w:t xml:space="preserve"> + (Ci-Cj)</w:t>
      </w:r>
      <w:r w:rsidRPr="00491E57">
        <w:rPr>
          <w:sz w:val="19"/>
          <w:szCs w:val="19"/>
          <w:vertAlign w:val="superscript"/>
        </w:rPr>
        <w:t>2</w:t>
      </w:r>
      <w:r w:rsidRPr="00491E57">
        <w:rPr>
          <w:sz w:val="19"/>
          <w:szCs w:val="19"/>
        </w:rPr>
        <w:t xml:space="preserve"> + (Di-Dj)</w:t>
      </w:r>
      <w:r w:rsidRPr="00491E57">
        <w:rPr>
          <w:sz w:val="19"/>
          <w:szCs w:val="19"/>
          <w:vertAlign w:val="superscript"/>
        </w:rPr>
        <w:t>2</w:t>
      </w:r>
      <w:r w:rsidRPr="00491E57">
        <w:rPr>
          <w:sz w:val="19"/>
          <w:szCs w:val="19"/>
        </w:rPr>
        <w:t xml:space="preserve"> + (Ei-Ej)</w:t>
      </w:r>
      <w:r w:rsidRPr="00491E57">
        <w:rPr>
          <w:sz w:val="19"/>
          <w:szCs w:val="19"/>
          <w:vertAlign w:val="superscript"/>
        </w:rPr>
        <w:t>2</w:t>
      </w:r>
      <w:r w:rsidRPr="00491E57">
        <w:rPr>
          <w:sz w:val="19"/>
          <w:szCs w:val="19"/>
        </w:rPr>
        <w:t>+ (Fi-Fj)</w:t>
      </w:r>
      <w:r w:rsidRPr="00491E57">
        <w:rPr>
          <w:sz w:val="19"/>
          <w:szCs w:val="19"/>
          <w:vertAlign w:val="superscript"/>
        </w:rPr>
        <w:t>2</w:t>
      </w:r>
      <w:r w:rsidR="009D0322" w:rsidRPr="00491E57">
        <w:rPr>
          <w:sz w:val="19"/>
          <w:szCs w:val="19"/>
        </w:rPr>
        <w:t>+ (Gi-Gj)</w:t>
      </w:r>
      <w:r w:rsidR="009D0322" w:rsidRPr="00491E57">
        <w:rPr>
          <w:sz w:val="19"/>
          <w:szCs w:val="19"/>
          <w:vertAlign w:val="superscript"/>
        </w:rPr>
        <w:t>2</w:t>
      </w:r>
      <w:r w:rsidRPr="00491E57">
        <w:rPr>
          <w:sz w:val="19"/>
          <w:szCs w:val="19"/>
        </w:rPr>
        <w:t xml:space="preserve">] </w:t>
      </w:r>
      <w:r w:rsidR="00624BB7" w:rsidRPr="00491E57">
        <w:rPr>
          <w:sz w:val="19"/>
          <w:szCs w:val="19"/>
          <w:vertAlign w:val="superscript"/>
        </w:rPr>
        <w:t xml:space="preserve">½ </w:t>
      </w:r>
    </w:p>
    <w:p w14:paraId="7C3B5F63" w14:textId="77777777" w:rsidR="00516718" w:rsidRPr="00491E57" w:rsidRDefault="00516718" w:rsidP="00C23C43">
      <w:pPr>
        <w:pStyle w:val="FootnoteText"/>
        <w:rPr>
          <w:sz w:val="19"/>
          <w:szCs w:val="19"/>
        </w:rPr>
      </w:pPr>
    </w:p>
    <w:p w14:paraId="76FEFBF9" w14:textId="31FFBD1B" w:rsidR="00624BB7" w:rsidRPr="00491E57" w:rsidRDefault="00E84D44" w:rsidP="00C23C43">
      <w:pPr>
        <w:pStyle w:val="FootnoteText"/>
        <w:rPr>
          <w:sz w:val="19"/>
          <w:szCs w:val="19"/>
        </w:rPr>
      </w:pPr>
      <w:r w:rsidRPr="00491E57">
        <w:rPr>
          <w:sz w:val="19"/>
          <w:szCs w:val="19"/>
        </w:rPr>
        <w:t>Prior to the calculation, dimension</w:t>
      </w:r>
      <w:r w:rsidR="004503EA">
        <w:rPr>
          <w:sz w:val="19"/>
          <w:szCs w:val="19"/>
        </w:rPr>
        <w:t>s</w:t>
      </w:r>
      <w:r w:rsidRPr="00491E57">
        <w:rPr>
          <w:sz w:val="19"/>
          <w:szCs w:val="19"/>
        </w:rPr>
        <w:t xml:space="preserve"> w</w:t>
      </w:r>
      <w:r w:rsidR="009A011E">
        <w:rPr>
          <w:sz w:val="19"/>
          <w:szCs w:val="19"/>
        </w:rPr>
        <w:t>ere</w:t>
      </w:r>
      <w:r w:rsidR="00516718" w:rsidRPr="00491E57">
        <w:rPr>
          <w:sz w:val="19"/>
          <w:szCs w:val="19"/>
        </w:rPr>
        <w:t xml:space="preserve"> normalized, with means equal to zero and standard deviations of 1</w:t>
      </w:r>
      <w:r w:rsidR="009A011E">
        <w:rPr>
          <w:sz w:val="19"/>
          <w:szCs w:val="19"/>
        </w:rPr>
        <w:t>.  P</w:t>
      </w:r>
      <w:r w:rsidR="001A77D0" w:rsidRPr="00491E57">
        <w:rPr>
          <w:sz w:val="19"/>
          <w:szCs w:val="19"/>
        </w:rPr>
        <w:t xml:space="preserve">rior to normalization, each </w:t>
      </w:r>
      <w:r w:rsidR="004503EA">
        <w:rPr>
          <w:sz w:val="19"/>
          <w:szCs w:val="19"/>
        </w:rPr>
        <w:t>measure</w:t>
      </w:r>
      <w:r w:rsidR="001A77D0" w:rsidRPr="00491E57">
        <w:rPr>
          <w:sz w:val="19"/>
          <w:szCs w:val="19"/>
        </w:rPr>
        <w:t xml:space="preserve"> was logged (</w:t>
      </w:r>
      <w:r w:rsidR="006B1980">
        <w:rPr>
          <w:sz w:val="19"/>
          <w:szCs w:val="19"/>
        </w:rPr>
        <w:t>Log 10</w:t>
      </w:r>
      <w:r w:rsidR="001A77D0" w:rsidRPr="00491E57">
        <w:rPr>
          <w:sz w:val="19"/>
          <w:szCs w:val="19"/>
        </w:rPr>
        <w:t xml:space="preserve">) unless skewness of </w:t>
      </w:r>
      <w:r w:rsidR="006B1980">
        <w:rPr>
          <w:sz w:val="19"/>
          <w:szCs w:val="19"/>
        </w:rPr>
        <w:t xml:space="preserve">the </w:t>
      </w:r>
      <w:r w:rsidR="001A77D0" w:rsidRPr="00491E57">
        <w:rPr>
          <w:sz w:val="19"/>
          <w:szCs w:val="19"/>
        </w:rPr>
        <w:t>statewide distribution was less than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DDF43" w14:textId="18440947" w:rsidR="00C77950" w:rsidRPr="00C77950" w:rsidRDefault="00C77950" w:rsidP="00FE6728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24403"/>
    <w:multiLevelType w:val="hybridMultilevel"/>
    <w:tmpl w:val="B91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B46FC"/>
    <w:multiLevelType w:val="hybridMultilevel"/>
    <w:tmpl w:val="C486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C4C27"/>
    <w:multiLevelType w:val="hybridMultilevel"/>
    <w:tmpl w:val="82D492BE"/>
    <w:lvl w:ilvl="0" w:tplc="82020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11"/>
    <w:rsid w:val="00016DEF"/>
    <w:rsid w:val="00034799"/>
    <w:rsid w:val="00037A4B"/>
    <w:rsid w:val="00073C92"/>
    <w:rsid w:val="00093AAE"/>
    <w:rsid w:val="000954C9"/>
    <w:rsid w:val="00112410"/>
    <w:rsid w:val="00136D0B"/>
    <w:rsid w:val="00141998"/>
    <w:rsid w:val="00147A2B"/>
    <w:rsid w:val="00156A5E"/>
    <w:rsid w:val="0016434F"/>
    <w:rsid w:val="001A16B2"/>
    <w:rsid w:val="001A34DC"/>
    <w:rsid w:val="001A77D0"/>
    <w:rsid w:val="001C219E"/>
    <w:rsid w:val="001D1653"/>
    <w:rsid w:val="001E77E6"/>
    <w:rsid w:val="001F6653"/>
    <w:rsid w:val="0021399B"/>
    <w:rsid w:val="00216958"/>
    <w:rsid w:val="00236B94"/>
    <w:rsid w:val="00246709"/>
    <w:rsid w:val="00252CBA"/>
    <w:rsid w:val="0027780B"/>
    <w:rsid w:val="00282EE1"/>
    <w:rsid w:val="00284DE1"/>
    <w:rsid w:val="002860B0"/>
    <w:rsid w:val="002B5FAE"/>
    <w:rsid w:val="002C6A19"/>
    <w:rsid w:val="00301F5A"/>
    <w:rsid w:val="003029E3"/>
    <w:rsid w:val="00317D64"/>
    <w:rsid w:val="00326FA7"/>
    <w:rsid w:val="00331D02"/>
    <w:rsid w:val="00333435"/>
    <w:rsid w:val="00334C1F"/>
    <w:rsid w:val="003403BD"/>
    <w:rsid w:val="00344C0C"/>
    <w:rsid w:val="00364CD6"/>
    <w:rsid w:val="00392B83"/>
    <w:rsid w:val="003938D9"/>
    <w:rsid w:val="003B2134"/>
    <w:rsid w:val="003C4750"/>
    <w:rsid w:val="003D6891"/>
    <w:rsid w:val="003F7F6A"/>
    <w:rsid w:val="00413AD7"/>
    <w:rsid w:val="00422055"/>
    <w:rsid w:val="004503EA"/>
    <w:rsid w:val="00466868"/>
    <w:rsid w:val="00471F2A"/>
    <w:rsid w:val="00491E57"/>
    <w:rsid w:val="00495A3F"/>
    <w:rsid w:val="004A1EAC"/>
    <w:rsid w:val="004B087C"/>
    <w:rsid w:val="004B60E0"/>
    <w:rsid w:val="004C1A9F"/>
    <w:rsid w:val="004E2BF8"/>
    <w:rsid w:val="004E31BD"/>
    <w:rsid w:val="004F5803"/>
    <w:rsid w:val="00512B6B"/>
    <w:rsid w:val="00516718"/>
    <w:rsid w:val="0052418F"/>
    <w:rsid w:val="00566DC3"/>
    <w:rsid w:val="00567E34"/>
    <w:rsid w:val="00572DCB"/>
    <w:rsid w:val="005813F3"/>
    <w:rsid w:val="005A0C01"/>
    <w:rsid w:val="005A6411"/>
    <w:rsid w:val="005A6654"/>
    <w:rsid w:val="005B711E"/>
    <w:rsid w:val="005E4E09"/>
    <w:rsid w:val="005F2C41"/>
    <w:rsid w:val="005F3BAD"/>
    <w:rsid w:val="005F6987"/>
    <w:rsid w:val="00624BB7"/>
    <w:rsid w:val="00644977"/>
    <w:rsid w:val="006668A4"/>
    <w:rsid w:val="00680609"/>
    <w:rsid w:val="00690984"/>
    <w:rsid w:val="006952AA"/>
    <w:rsid w:val="006A3895"/>
    <w:rsid w:val="006A4024"/>
    <w:rsid w:val="006B1980"/>
    <w:rsid w:val="006C0F44"/>
    <w:rsid w:val="006C51BF"/>
    <w:rsid w:val="00702F35"/>
    <w:rsid w:val="00740BA9"/>
    <w:rsid w:val="00746A46"/>
    <w:rsid w:val="00772FA8"/>
    <w:rsid w:val="0077326F"/>
    <w:rsid w:val="00780795"/>
    <w:rsid w:val="00786CF5"/>
    <w:rsid w:val="007933AB"/>
    <w:rsid w:val="00797879"/>
    <w:rsid w:val="007D14AB"/>
    <w:rsid w:val="007D14EF"/>
    <w:rsid w:val="00800615"/>
    <w:rsid w:val="008259BB"/>
    <w:rsid w:val="00827B64"/>
    <w:rsid w:val="00862543"/>
    <w:rsid w:val="008670D7"/>
    <w:rsid w:val="00870AA9"/>
    <w:rsid w:val="008A76D3"/>
    <w:rsid w:val="008B0F58"/>
    <w:rsid w:val="008B3F30"/>
    <w:rsid w:val="008C4979"/>
    <w:rsid w:val="008D7CDF"/>
    <w:rsid w:val="008E7AFE"/>
    <w:rsid w:val="008F1283"/>
    <w:rsid w:val="00912EC9"/>
    <w:rsid w:val="009A011E"/>
    <w:rsid w:val="009B318C"/>
    <w:rsid w:val="009B6C0F"/>
    <w:rsid w:val="009C201E"/>
    <w:rsid w:val="009D0322"/>
    <w:rsid w:val="009F17D4"/>
    <w:rsid w:val="00A44131"/>
    <w:rsid w:val="00A55137"/>
    <w:rsid w:val="00AA63E6"/>
    <w:rsid w:val="00AB5495"/>
    <w:rsid w:val="00B17631"/>
    <w:rsid w:val="00B32382"/>
    <w:rsid w:val="00B3496C"/>
    <w:rsid w:val="00B34BF5"/>
    <w:rsid w:val="00B54680"/>
    <w:rsid w:val="00B9008E"/>
    <w:rsid w:val="00B93225"/>
    <w:rsid w:val="00B93DAF"/>
    <w:rsid w:val="00C01D71"/>
    <w:rsid w:val="00C17FBA"/>
    <w:rsid w:val="00C23C43"/>
    <w:rsid w:val="00C4143E"/>
    <w:rsid w:val="00C73EBC"/>
    <w:rsid w:val="00C77950"/>
    <w:rsid w:val="00CD5E9E"/>
    <w:rsid w:val="00D01CE2"/>
    <w:rsid w:val="00D073DF"/>
    <w:rsid w:val="00D22DBD"/>
    <w:rsid w:val="00D2412D"/>
    <w:rsid w:val="00D306D4"/>
    <w:rsid w:val="00D42B4F"/>
    <w:rsid w:val="00D90793"/>
    <w:rsid w:val="00D9574A"/>
    <w:rsid w:val="00DB210A"/>
    <w:rsid w:val="00DD337B"/>
    <w:rsid w:val="00DE40D3"/>
    <w:rsid w:val="00E17096"/>
    <w:rsid w:val="00E2625E"/>
    <w:rsid w:val="00E301B2"/>
    <w:rsid w:val="00E313B0"/>
    <w:rsid w:val="00E34424"/>
    <w:rsid w:val="00E46234"/>
    <w:rsid w:val="00E61FBF"/>
    <w:rsid w:val="00E74778"/>
    <w:rsid w:val="00E84D44"/>
    <w:rsid w:val="00E95E97"/>
    <w:rsid w:val="00EA20A4"/>
    <w:rsid w:val="00EA312F"/>
    <w:rsid w:val="00ED24F4"/>
    <w:rsid w:val="00F00C64"/>
    <w:rsid w:val="00F17D67"/>
    <w:rsid w:val="00F30A0B"/>
    <w:rsid w:val="00F41CEA"/>
    <w:rsid w:val="00F65FDB"/>
    <w:rsid w:val="00F77C15"/>
    <w:rsid w:val="00FB1404"/>
    <w:rsid w:val="00FC101C"/>
    <w:rsid w:val="00FD1833"/>
    <w:rsid w:val="00FD40B1"/>
    <w:rsid w:val="00FE62E0"/>
    <w:rsid w:val="00FE6728"/>
    <w:rsid w:val="00FE6CC5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64C2"/>
  <w15:chartTrackingRefBased/>
  <w15:docId w15:val="{271A93FD-D43A-42CB-9B38-2FE859AC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4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4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950"/>
  </w:style>
  <w:style w:type="paragraph" w:styleId="Footer">
    <w:name w:val="footer"/>
    <w:basedOn w:val="Normal"/>
    <w:link w:val="FooterChar"/>
    <w:uiPriority w:val="99"/>
    <w:unhideWhenUsed/>
    <w:rsid w:val="00C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950"/>
  </w:style>
  <w:style w:type="paragraph" w:styleId="FootnoteText">
    <w:name w:val="footnote text"/>
    <w:basedOn w:val="Normal"/>
    <w:link w:val="FootnoteTextChar"/>
    <w:uiPriority w:val="99"/>
    <w:semiHidden/>
    <w:unhideWhenUsed/>
    <w:rsid w:val="00C23C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C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3C4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F62C3-C8B2-4FF1-84A2-C78542B7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Dowell, Eben</dc:creator>
  <cp:keywords/>
  <dc:description/>
  <cp:lastModifiedBy>Dowell, Eben</cp:lastModifiedBy>
  <cp:revision>3</cp:revision>
  <cp:lastPrinted>2019-09-18T13:01:00Z</cp:lastPrinted>
  <dcterms:created xsi:type="dcterms:W3CDTF">2019-09-18T13:09:00Z</dcterms:created>
  <dcterms:modified xsi:type="dcterms:W3CDTF">2019-09-18T13:12:00Z</dcterms:modified>
</cp:coreProperties>
</file>